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C8EF" w14:textId="64BDE96C" w:rsidR="00EB430D" w:rsidRPr="002A3309" w:rsidRDefault="00EB430D" w:rsidP="00E41F01">
      <w:pPr>
        <w:pStyle w:val="Nadpis1"/>
        <w:spacing w:after="30" w:line="276" w:lineRule="auto"/>
        <w:jc w:val="center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VZOROVÝ FORMULÁŘ BANKOVNÍ </w:t>
      </w:r>
      <w:r w:rsidR="0003052A" w:rsidRPr="002A3309">
        <w:rPr>
          <w:rFonts w:ascii="Tahoma" w:hAnsi="Tahoma" w:cs="Tahoma"/>
          <w:sz w:val="19"/>
          <w:szCs w:val="19"/>
        </w:rPr>
        <w:t>ZÁRUKY – ZAJIŠTĚNÍ</w:t>
      </w:r>
      <w:r w:rsidRPr="002A3309">
        <w:rPr>
          <w:rFonts w:ascii="Tahoma" w:hAnsi="Tahoma" w:cs="Tahoma"/>
          <w:sz w:val="19"/>
          <w:szCs w:val="19"/>
        </w:rPr>
        <w:t xml:space="preserve"> SPLNĚNÍ SMLOUVY</w:t>
      </w:r>
    </w:p>
    <w:p w14:paraId="55F93F1B" w14:textId="77777777" w:rsidR="00EB430D" w:rsidRPr="002A3309" w:rsidRDefault="00EB430D" w:rsidP="00E41F01">
      <w:pPr>
        <w:spacing w:after="30" w:line="276" w:lineRule="auto"/>
        <w:rPr>
          <w:rFonts w:ascii="Tahoma" w:hAnsi="Tahoma" w:cs="Tahoma"/>
          <w:b/>
          <w:bCs/>
          <w:sz w:val="19"/>
          <w:szCs w:val="19"/>
        </w:rPr>
      </w:pPr>
    </w:p>
    <w:p w14:paraId="55F6D72F" w14:textId="2941B2D0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b/>
          <w:bCs/>
          <w:sz w:val="19"/>
          <w:szCs w:val="19"/>
        </w:rPr>
        <w:t>Stručný název Smlouvy o dílo:</w:t>
      </w:r>
      <w:r w:rsidRPr="002A3309">
        <w:rPr>
          <w:rFonts w:ascii="Tahoma" w:hAnsi="Tahoma" w:cs="Tahoma"/>
          <w:sz w:val="19"/>
          <w:szCs w:val="19"/>
        </w:rPr>
        <w:t xml:space="preserve"> Smlouva ze dne </w:t>
      </w:r>
      <w:r w:rsidR="00E31111" w:rsidRPr="002A3309">
        <w:rPr>
          <w:rFonts w:ascii="Tahoma" w:hAnsi="Tahoma" w:cs="Tahoma"/>
          <w:sz w:val="19"/>
          <w:szCs w:val="19"/>
        </w:rPr>
        <w:t>[</w:t>
      </w:r>
      <w:r w:rsidR="00043006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="00E31111" w:rsidRPr="002A3309">
        <w:rPr>
          <w:rFonts w:ascii="Tahoma" w:hAnsi="Tahoma" w:cs="Tahoma"/>
          <w:sz w:val="19"/>
          <w:szCs w:val="19"/>
        </w:rPr>
        <w:t xml:space="preserve">] </w:t>
      </w:r>
      <w:r w:rsidRPr="002A3309">
        <w:rPr>
          <w:rFonts w:ascii="Tahoma" w:hAnsi="Tahoma" w:cs="Tahoma"/>
          <w:sz w:val="19"/>
          <w:szCs w:val="19"/>
        </w:rPr>
        <w:t>uzavřená mezi Objednatelem a</w:t>
      </w:r>
      <w:r w:rsidR="00E31111" w:rsidRPr="002A3309">
        <w:rPr>
          <w:rFonts w:ascii="Tahoma" w:hAnsi="Tahoma" w:cs="Tahoma"/>
          <w:sz w:val="19"/>
          <w:szCs w:val="19"/>
        </w:rPr>
        <w:t> </w:t>
      </w:r>
      <w:r w:rsidRPr="002A3309">
        <w:rPr>
          <w:rFonts w:ascii="Tahoma" w:hAnsi="Tahoma" w:cs="Tahoma"/>
          <w:sz w:val="19"/>
          <w:szCs w:val="19"/>
        </w:rPr>
        <w:t>Zhotovitelem na plnění veřejné zakázky s názvem „</w:t>
      </w:r>
      <w:r w:rsidR="00EB538B" w:rsidRPr="00EB538B">
        <w:rPr>
          <w:rFonts w:ascii="Tahoma" w:hAnsi="Tahoma" w:cs="Tahoma"/>
          <w:sz w:val="19"/>
          <w:szCs w:val="19"/>
        </w:rPr>
        <w:t>ZŠ Wagnerovo nám. 458, Beroun – stavební úpravy, metodou Design – Build</w:t>
      </w:r>
      <w:r w:rsidR="00EB538B" w:rsidRPr="00EB538B" w:rsidDel="00EB538B">
        <w:rPr>
          <w:rFonts w:ascii="Tahoma" w:hAnsi="Tahoma" w:cs="Tahoma"/>
          <w:sz w:val="19"/>
          <w:szCs w:val="19"/>
        </w:rPr>
        <w:t xml:space="preserve"> </w:t>
      </w:r>
      <w:r w:rsidRPr="002A3309">
        <w:rPr>
          <w:rFonts w:ascii="Tahoma" w:hAnsi="Tahoma" w:cs="Tahoma"/>
          <w:sz w:val="19"/>
          <w:szCs w:val="19"/>
        </w:rPr>
        <w:t xml:space="preserve">“, ev. č. ve Věstníku veřejných zakázek </w:t>
      </w:r>
      <w:r w:rsidR="004350B3" w:rsidRPr="002A3309">
        <w:rPr>
          <w:rFonts w:ascii="Tahoma" w:hAnsi="Tahoma" w:cs="Tahoma"/>
          <w:sz w:val="19"/>
          <w:szCs w:val="19"/>
        </w:rPr>
        <w:t>[</w:t>
      </w:r>
      <w:r w:rsidR="004350B3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proofErr w:type="gramStart"/>
      <w:r w:rsidR="004350B3" w:rsidRPr="002A3309">
        <w:rPr>
          <w:rFonts w:ascii="Tahoma" w:hAnsi="Tahoma" w:cs="Tahoma"/>
          <w:sz w:val="19"/>
          <w:szCs w:val="19"/>
        </w:rPr>
        <w:t xml:space="preserve">] </w:t>
      </w:r>
      <w:r w:rsidRPr="002A3309">
        <w:rPr>
          <w:rFonts w:ascii="Tahoma" w:hAnsi="Tahoma" w:cs="Tahoma"/>
          <w:sz w:val="19"/>
          <w:szCs w:val="19"/>
        </w:rPr>
        <w:t>.</w:t>
      </w:r>
      <w:proofErr w:type="gramEnd"/>
    </w:p>
    <w:p w14:paraId="79AA00E2" w14:textId="77777777" w:rsidR="00EB430D" w:rsidRPr="002A3309" w:rsidRDefault="00EB430D" w:rsidP="00E41F01">
      <w:pPr>
        <w:spacing w:after="30" w:line="276" w:lineRule="auto"/>
        <w:rPr>
          <w:rFonts w:ascii="Tahoma" w:hAnsi="Tahoma" w:cs="Tahoma"/>
          <w:sz w:val="19"/>
          <w:szCs w:val="19"/>
        </w:rPr>
      </w:pPr>
    </w:p>
    <w:p w14:paraId="09F0E401" w14:textId="77777777" w:rsidR="00EB430D" w:rsidRPr="002A3309" w:rsidRDefault="00EB430D" w:rsidP="00E41F01">
      <w:pPr>
        <w:spacing w:after="30" w:line="276" w:lineRule="auto"/>
        <w:rPr>
          <w:rFonts w:ascii="Tahoma" w:hAnsi="Tahoma" w:cs="Tahoma"/>
          <w:color w:val="FF0000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  <w:u w:val="single"/>
        </w:rPr>
        <w:t>Název a adresa příjemce</w:t>
      </w:r>
      <w:r w:rsidRPr="002A3309">
        <w:rPr>
          <w:rFonts w:ascii="Tahoma" w:hAnsi="Tahoma" w:cs="Tahoma"/>
          <w:sz w:val="19"/>
          <w:szCs w:val="19"/>
        </w:rPr>
        <w:t xml:space="preserve"> (jež Smlouva o dílo uvádí jako Objednatele): </w:t>
      </w:r>
    </w:p>
    <w:p w14:paraId="502FBE58" w14:textId="676C6187" w:rsidR="00AB1DD2" w:rsidRPr="002A3309" w:rsidRDefault="00AB1DD2" w:rsidP="00E41F01">
      <w:pPr>
        <w:spacing w:after="3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AB1DD2">
        <w:rPr>
          <w:rFonts w:ascii="Tahoma" w:hAnsi="Tahoma" w:cs="Tahoma"/>
          <w:b/>
          <w:bCs/>
          <w:sz w:val="19"/>
          <w:szCs w:val="19"/>
        </w:rPr>
        <w:t>Město Beroun</w:t>
      </w:r>
      <w:r w:rsidRPr="00AB1DD2" w:rsidDel="00AB1DD2"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172EFDAE" w14:textId="7769EB0D" w:rsidR="00EB430D" w:rsidRPr="002A3309" w:rsidRDefault="00A3332F" w:rsidP="00E41F01">
      <w:pPr>
        <w:spacing w:after="30" w:line="276" w:lineRule="auto"/>
        <w:jc w:val="both"/>
        <w:rPr>
          <w:rFonts w:ascii="Tahoma" w:hAnsi="Tahoma" w:cs="Tahoma"/>
          <w:bCs/>
          <w:sz w:val="19"/>
          <w:szCs w:val="19"/>
        </w:rPr>
      </w:pPr>
      <w:r w:rsidRPr="002A3309">
        <w:rPr>
          <w:rFonts w:ascii="Tahoma" w:hAnsi="Tahoma" w:cs="Tahoma"/>
          <w:bCs/>
          <w:sz w:val="19"/>
          <w:szCs w:val="19"/>
        </w:rPr>
        <w:t xml:space="preserve">se sídlem: </w:t>
      </w:r>
      <w:r w:rsidR="00FF4140" w:rsidRPr="00FF4140">
        <w:rPr>
          <w:rFonts w:ascii="Tahoma" w:hAnsi="Tahoma" w:cs="Tahoma"/>
          <w:bCs/>
          <w:sz w:val="19"/>
          <w:szCs w:val="19"/>
        </w:rPr>
        <w:t xml:space="preserve">Husovo nám. 68, Beroun-Centrum, 266 01 Beroun  </w:t>
      </w:r>
    </w:p>
    <w:p w14:paraId="00C6BC94" w14:textId="356B5C57" w:rsidR="00EB430D" w:rsidRPr="002A3309" w:rsidRDefault="00EB430D" w:rsidP="00E41F01">
      <w:pPr>
        <w:tabs>
          <w:tab w:val="left" w:pos="2057"/>
        </w:tabs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IČO</w:t>
      </w:r>
      <w:r w:rsidR="00A3332F" w:rsidRPr="002A3309">
        <w:rPr>
          <w:rFonts w:ascii="Tahoma" w:hAnsi="Tahoma" w:cs="Tahoma"/>
          <w:sz w:val="19"/>
          <w:szCs w:val="19"/>
        </w:rPr>
        <w:t>:</w:t>
      </w:r>
      <w:r w:rsidRPr="002A3309">
        <w:rPr>
          <w:rFonts w:ascii="Tahoma" w:hAnsi="Tahoma" w:cs="Tahoma"/>
          <w:sz w:val="19"/>
          <w:szCs w:val="19"/>
        </w:rPr>
        <w:t xml:space="preserve"> </w:t>
      </w:r>
      <w:r w:rsidR="004350B3" w:rsidRPr="004350B3">
        <w:rPr>
          <w:rFonts w:ascii="Tahoma" w:hAnsi="Tahoma" w:cs="Tahoma"/>
          <w:sz w:val="19"/>
          <w:szCs w:val="19"/>
        </w:rPr>
        <w:t>002</w:t>
      </w:r>
      <w:r w:rsidR="004350B3">
        <w:rPr>
          <w:rFonts w:ascii="Tahoma" w:hAnsi="Tahoma" w:cs="Tahoma"/>
          <w:sz w:val="19"/>
          <w:szCs w:val="19"/>
        </w:rPr>
        <w:t xml:space="preserve"> </w:t>
      </w:r>
      <w:r w:rsidR="004350B3" w:rsidRPr="004350B3">
        <w:rPr>
          <w:rFonts w:ascii="Tahoma" w:hAnsi="Tahoma" w:cs="Tahoma"/>
          <w:sz w:val="19"/>
          <w:szCs w:val="19"/>
        </w:rPr>
        <w:t>33</w:t>
      </w:r>
      <w:r w:rsidR="004350B3">
        <w:rPr>
          <w:rFonts w:ascii="Tahoma" w:hAnsi="Tahoma" w:cs="Tahoma"/>
          <w:sz w:val="19"/>
          <w:szCs w:val="19"/>
        </w:rPr>
        <w:t xml:space="preserve"> </w:t>
      </w:r>
      <w:r w:rsidR="004350B3" w:rsidRPr="004350B3">
        <w:rPr>
          <w:rFonts w:ascii="Tahoma" w:hAnsi="Tahoma" w:cs="Tahoma"/>
          <w:sz w:val="19"/>
          <w:szCs w:val="19"/>
        </w:rPr>
        <w:t>129</w:t>
      </w:r>
      <w:r w:rsidRPr="002A3309">
        <w:rPr>
          <w:rFonts w:ascii="Tahoma" w:hAnsi="Tahoma" w:cs="Tahoma"/>
          <w:sz w:val="19"/>
          <w:szCs w:val="19"/>
        </w:rPr>
        <w:tab/>
      </w:r>
    </w:p>
    <w:p w14:paraId="633D2E5D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a</w:t>
      </w:r>
    </w:p>
    <w:p w14:paraId="3D289342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[</w:t>
      </w:r>
      <w:r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Pr="002A3309">
        <w:rPr>
          <w:rFonts w:ascii="Tahoma" w:hAnsi="Tahoma" w:cs="Tahoma"/>
          <w:sz w:val="19"/>
          <w:szCs w:val="19"/>
        </w:rPr>
        <w:t>]</w:t>
      </w:r>
    </w:p>
    <w:p w14:paraId="58A61860" w14:textId="77777777" w:rsidR="00A3332F" w:rsidRPr="002A3309" w:rsidRDefault="00A3332F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se sídlem: [</w:t>
      </w:r>
      <w:r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Pr="002A3309">
        <w:rPr>
          <w:rFonts w:ascii="Tahoma" w:hAnsi="Tahoma" w:cs="Tahoma"/>
          <w:sz w:val="19"/>
          <w:szCs w:val="19"/>
        </w:rPr>
        <w:t>]</w:t>
      </w:r>
    </w:p>
    <w:p w14:paraId="77020D10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IČO: [</w:t>
      </w:r>
      <w:r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Pr="002A3309">
        <w:rPr>
          <w:rFonts w:ascii="Tahoma" w:hAnsi="Tahoma" w:cs="Tahoma"/>
          <w:sz w:val="19"/>
          <w:szCs w:val="19"/>
        </w:rPr>
        <w:t>]</w:t>
      </w:r>
    </w:p>
    <w:p w14:paraId="24BC1820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</w:p>
    <w:p w14:paraId="5EF63A19" w14:textId="354FBA2B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b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Tato bankovní záruka je poskytnuta v souvislosti se Smlouvou o dílo č. </w:t>
      </w:r>
      <w:r w:rsidR="00EF5FE2" w:rsidRPr="002A3309">
        <w:rPr>
          <w:rFonts w:ascii="Tahoma" w:hAnsi="Tahoma" w:cs="Tahoma"/>
          <w:sz w:val="19"/>
          <w:szCs w:val="19"/>
        </w:rPr>
        <w:t>[</w:t>
      </w:r>
      <w:r w:rsidR="00EF5FE2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="00EF5FE2" w:rsidRPr="002A3309">
        <w:rPr>
          <w:rFonts w:ascii="Tahoma" w:hAnsi="Tahoma" w:cs="Tahoma"/>
          <w:sz w:val="19"/>
          <w:szCs w:val="19"/>
        </w:rPr>
        <w:t>]</w:t>
      </w:r>
      <w:r w:rsidRPr="002A3309">
        <w:rPr>
          <w:rFonts w:ascii="Tahoma" w:hAnsi="Tahoma" w:cs="Tahoma"/>
          <w:sz w:val="19"/>
          <w:szCs w:val="19"/>
        </w:rPr>
        <w:t xml:space="preserve"> ze dne </w:t>
      </w:r>
      <w:r w:rsidR="00EF5FE2" w:rsidRPr="002A3309">
        <w:rPr>
          <w:rFonts w:ascii="Tahoma" w:hAnsi="Tahoma" w:cs="Tahoma"/>
          <w:sz w:val="19"/>
          <w:szCs w:val="19"/>
        </w:rPr>
        <w:t>[</w:t>
      </w:r>
      <w:r w:rsidR="00EF5FE2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="00EF5FE2" w:rsidRPr="002A3309">
        <w:rPr>
          <w:rFonts w:ascii="Tahoma" w:hAnsi="Tahoma" w:cs="Tahoma"/>
          <w:sz w:val="19"/>
          <w:szCs w:val="19"/>
        </w:rPr>
        <w:t>]</w:t>
      </w:r>
      <w:r w:rsidRPr="002A3309">
        <w:rPr>
          <w:rFonts w:ascii="Tahoma" w:hAnsi="Tahoma" w:cs="Tahoma"/>
          <w:sz w:val="19"/>
          <w:szCs w:val="19"/>
        </w:rPr>
        <w:t>, (dále jen „</w:t>
      </w:r>
      <w:r w:rsidRPr="002A3309">
        <w:rPr>
          <w:rFonts w:ascii="Tahoma" w:hAnsi="Tahoma" w:cs="Tahoma"/>
          <w:sz w:val="19"/>
          <w:szCs w:val="19"/>
          <w:u w:val="single"/>
        </w:rPr>
        <w:t>Smlouva</w:t>
      </w:r>
      <w:r w:rsidRPr="002A3309">
        <w:rPr>
          <w:rFonts w:ascii="Tahoma" w:hAnsi="Tahoma" w:cs="Tahoma"/>
          <w:sz w:val="19"/>
          <w:szCs w:val="19"/>
        </w:rPr>
        <w:t xml:space="preserve">“) uzavřenou </w:t>
      </w:r>
      <w:r w:rsidRPr="002A3309">
        <w:rPr>
          <w:rFonts w:ascii="Tahoma" w:hAnsi="Tahoma" w:cs="Tahoma"/>
          <w:bCs/>
          <w:sz w:val="19"/>
          <w:szCs w:val="19"/>
        </w:rPr>
        <w:t xml:space="preserve">mezi </w:t>
      </w:r>
      <w:r w:rsidR="004350B3">
        <w:rPr>
          <w:rFonts w:ascii="Tahoma" w:hAnsi="Tahoma" w:cs="Tahoma"/>
          <w:bCs/>
          <w:sz w:val="19"/>
          <w:szCs w:val="19"/>
        </w:rPr>
        <w:t>městem Beroun</w:t>
      </w:r>
      <w:r w:rsidRPr="002A3309">
        <w:rPr>
          <w:rFonts w:ascii="Tahoma" w:hAnsi="Tahoma" w:cs="Tahoma"/>
          <w:bCs/>
          <w:sz w:val="19"/>
          <w:szCs w:val="19"/>
        </w:rPr>
        <w:t xml:space="preserve">, </w:t>
      </w:r>
      <w:r w:rsidR="00231C5C" w:rsidRPr="002A3309">
        <w:rPr>
          <w:rFonts w:ascii="Tahoma" w:hAnsi="Tahoma" w:cs="Tahoma"/>
          <w:bCs/>
          <w:sz w:val="19"/>
          <w:szCs w:val="19"/>
        </w:rPr>
        <w:t xml:space="preserve">se sídlem </w:t>
      </w:r>
      <w:r w:rsidR="004350B3" w:rsidRPr="004350B3">
        <w:rPr>
          <w:rFonts w:ascii="Tahoma" w:hAnsi="Tahoma" w:cs="Tahoma"/>
          <w:bCs/>
          <w:sz w:val="19"/>
          <w:szCs w:val="19"/>
        </w:rPr>
        <w:t>Husovo nám. 68, Beroun-Centrum, 266 01 Beroun</w:t>
      </w:r>
      <w:r w:rsidRPr="002A3309">
        <w:rPr>
          <w:rFonts w:ascii="Tahoma" w:hAnsi="Tahoma" w:cs="Tahoma"/>
          <w:sz w:val="19"/>
          <w:szCs w:val="19"/>
        </w:rPr>
        <w:t xml:space="preserve">, coby objednatelem </w:t>
      </w:r>
      <w:r w:rsidRPr="002A3309">
        <w:rPr>
          <w:rFonts w:ascii="Tahoma" w:hAnsi="Tahoma" w:cs="Tahoma"/>
          <w:bCs/>
          <w:sz w:val="19"/>
          <w:szCs w:val="19"/>
        </w:rPr>
        <w:t>na straně jedné (dále společně jen „</w:t>
      </w:r>
      <w:r w:rsidRPr="002A3309">
        <w:rPr>
          <w:rFonts w:ascii="Tahoma" w:hAnsi="Tahoma" w:cs="Tahoma"/>
          <w:bCs/>
          <w:sz w:val="19"/>
          <w:szCs w:val="19"/>
          <w:u w:val="single"/>
        </w:rPr>
        <w:t>Objednatel</w:t>
      </w:r>
      <w:r w:rsidRPr="002A3309">
        <w:rPr>
          <w:rFonts w:ascii="Tahoma" w:hAnsi="Tahoma" w:cs="Tahoma"/>
          <w:bCs/>
          <w:sz w:val="19"/>
          <w:szCs w:val="19"/>
        </w:rPr>
        <w:t xml:space="preserve">“) a obchodní společností </w:t>
      </w:r>
      <w:r w:rsidRPr="002A3309">
        <w:rPr>
          <w:rFonts w:ascii="Tahoma" w:hAnsi="Tahoma" w:cs="Tahoma"/>
          <w:sz w:val="19"/>
          <w:szCs w:val="19"/>
        </w:rPr>
        <w:t>[</w:t>
      </w:r>
      <w:r w:rsidR="00E31111" w:rsidRPr="002A3309">
        <w:rPr>
          <w:rFonts w:ascii="Tahoma" w:hAnsi="Tahoma" w:cs="Tahoma"/>
          <w:sz w:val="19"/>
          <w:szCs w:val="19"/>
          <w:highlight w:val="yellow"/>
        </w:rPr>
        <w:t>doplní dodavatel</w:t>
      </w:r>
      <w:r w:rsidRPr="002A3309">
        <w:rPr>
          <w:rFonts w:ascii="Tahoma" w:hAnsi="Tahoma" w:cs="Tahoma"/>
          <w:bCs/>
          <w:sz w:val="19"/>
          <w:szCs w:val="19"/>
        </w:rPr>
        <w:t xml:space="preserve">], </w:t>
      </w:r>
      <w:r w:rsidRPr="002A3309">
        <w:rPr>
          <w:rFonts w:ascii="Tahoma" w:hAnsi="Tahoma" w:cs="Tahoma"/>
          <w:sz w:val="19"/>
          <w:szCs w:val="19"/>
        </w:rPr>
        <w:t>se sídlem [</w:t>
      </w:r>
      <w:r w:rsidR="00E31111" w:rsidRPr="002A3309">
        <w:rPr>
          <w:rFonts w:ascii="Tahoma" w:hAnsi="Tahoma" w:cs="Tahoma"/>
          <w:sz w:val="19"/>
          <w:szCs w:val="19"/>
          <w:highlight w:val="yellow"/>
        </w:rPr>
        <w:t>doplní dodavatel</w:t>
      </w:r>
      <w:r w:rsidRPr="002A3309">
        <w:rPr>
          <w:rFonts w:ascii="Tahoma" w:hAnsi="Tahoma" w:cs="Tahoma"/>
          <w:bCs/>
          <w:sz w:val="19"/>
          <w:szCs w:val="19"/>
        </w:rPr>
        <w:t>]</w:t>
      </w:r>
      <w:r w:rsidRPr="002A3309">
        <w:rPr>
          <w:rFonts w:ascii="Tahoma" w:hAnsi="Tahoma" w:cs="Tahoma"/>
          <w:sz w:val="19"/>
          <w:szCs w:val="19"/>
        </w:rPr>
        <w:t>, IČO: [</w:t>
      </w:r>
      <w:r w:rsidR="00E31111" w:rsidRPr="002A3309">
        <w:rPr>
          <w:rFonts w:ascii="Tahoma" w:hAnsi="Tahoma" w:cs="Tahoma"/>
          <w:sz w:val="19"/>
          <w:szCs w:val="19"/>
          <w:highlight w:val="yellow"/>
        </w:rPr>
        <w:t>doplní dodavatel</w:t>
      </w:r>
      <w:r w:rsidRPr="002A3309">
        <w:rPr>
          <w:rFonts w:ascii="Tahoma" w:hAnsi="Tahoma" w:cs="Tahoma"/>
          <w:bCs/>
          <w:sz w:val="19"/>
          <w:szCs w:val="19"/>
        </w:rPr>
        <w:t>], [</w:t>
      </w:r>
      <w:r w:rsidRPr="002A3309">
        <w:rPr>
          <w:rFonts w:ascii="Tahoma" w:hAnsi="Tahoma" w:cs="Tahoma"/>
          <w:bCs/>
          <w:sz w:val="19"/>
          <w:szCs w:val="19"/>
          <w:highlight w:val="yellow"/>
        </w:rPr>
        <w:t xml:space="preserve">Pozn.: v případě, že je zhotovitelem </w:t>
      </w:r>
      <w:r w:rsidR="003D19F2">
        <w:rPr>
          <w:rFonts w:ascii="Tahoma" w:hAnsi="Tahoma" w:cs="Tahoma"/>
          <w:bCs/>
          <w:sz w:val="19"/>
          <w:szCs w:val="19"/>
          <w:highlight w:val="yellow"/>
        </w:rPr>
        <w:t>sdružení dodavatelů</w:t>
      </w:r>
      <w:r w:rsidRPr="002A3309">
        <w:rPr>
          <w:rFonts w:ascii="Tahoma" w:hAnsi="Tahoma" w:cs="Tahoma"/>
          <w:bCs/>
          <w:sz w:val="19"/>
          <w:szCs w:val="19"/>
          <w:highlight w:val="yellow"/>
        </w:rPr>
        <w:t xml:space="preserve"> složené z více osob, bude doplněna identifikace všech těchto osob</w:t>
      </w:r>
      <w:r w:rsidRPr="002A3309">
        <w:rPr>
          <w:rFonts w:ascii="Tahoma" w:hAnsi="Tahoma" w:cs="Tahoma"/>
          <w:bCs/>
          <w:sz w:val="19"/>
          <w:szCs w:val="19"/>
        </w:rPr>
        <w:t>], coby zhotovitelem na straně druhé (dále jen „</w:t>
      </w:r>
      <w:r w:rsidRPr="002A3309">
        <w:rPr>
          <w:rFonts w:ascii="Tahoma" w:hAnsi="Tahoma" w:cs="Tahoma"/>
          <w:bCs/>
          <w:sz w:val="19"/>
          <w:szCs w:val="19"/>
          <w:u w:val="single"/>
        </w:rPr>
        <w:t>Zhotovitel</w:t>
      </w:r>
      <w:r w:rsidRPr="002A3309">
        <w:rPr>
          <w:rFonts w:ascii="Tahoma" w:hAnsi="Tahoma" w:cs="Tahoma"/>
          <w:bCs/>
          <w:sz w:val="19"/>
          <w:szCs w:val="19"/>
        </w:rPr>
        <w:t>“), a to na základě zadávacího řízení na veřejnou zakázku s názvem „</w:t>
      </w:r>
      <w:r w:rsidR="004350B3" w:rsidRPr="00EB538B">
        <w:rPr>
          <w:rFonts w:ascii="Tahoma" w:hAnsi="Tahoma" w:cs="Tahoma"/>
          <w:sz w:val="19"/>
          <w:szCs w:val="19"/>
        </w:rPr>
        <w:t>ZŠ Wagnerovo nám. 458, Beroun – stavební úpravy, metodou Design – Build</w:t>
      </w:r>
      <w:r w:rsidRPr="002A3309">
        <w:rPr>
          <w:rFonts w:ascii="Tahoma" w:hAnsi="Tahoma" w:cs="Tahoma"/>
          <w:bCs/>
          <w:sz w:val="19"/>
          <w:szCs w:val="19"/>
        </w:rPr>
        <w:t>“, která je ve Věstníku veřejných zakázek evidována pod č.</w:t>
      </w:r>
      <w:r w:rsidR="00E31111" w:rsidRPr="002A3309">
        <w:rPr>
          <w:rFonts w:ascii="Tahoma" w:hAnsi="Tahoma" w:cs="Tahoma"/>
          <w:bCs/>
          <w:sz w:val="19"/>
          <w:szCs w:val="19"/>
        </w:rPr>
        <w:t> </w:t>
      </w:r>
      <w:r w:rsidR="004350B3" w:rsidRPr="002A3309">
        <w:rPr>
          <w:rFonts w:ascii="Tahoma" w:hAnsi="Tahoma" w:cs="Tahoma"/>
          <w:sz w:val="19"/>
          <w:szCs w:val="19"/>
        </w:rPr>
        <w:t>[</w:t>
      </w:r>
      <w:r w:rsidR="004350B3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="004350B3" w:rsidRPr="002A3309">
        <w:rPr>
          <w:rFonts w:ascii="Tahoma" w:hAnsi="Tahoma" w:cs="Tahoma"/>
          <w:sz w:val="19"/>
          <w:szCs w:val="19"/>
        </w:rPr>
        <w:t xml:space="preserve">] </w:t>
      </w:r>
      <w:r w:rsidRPr="002A3309">
        <w:rPr>
          <w:rFonts w:ascii="Tahoma" w:hAnsi="Tahoma" w:cs="Tahoma"/>
          <w:bCs/>
          <w:sz w:val="19"/>
          <w:szCs w:val="19"/>
        </w:rPr>
        <w:t>(dále jen „</w:t>
      </w:r>
      <w:r w:rsidRPr="002A3309">
        <w:rPr>
          <w:rFonts w:ascii="Tahoma" w:hAnsi="Tahoma" w:cs="Tahoma"/>
          <w:bCs/>
          <w:sz w:val="19"/>
          <w:szCs w:val="19"/>
          <w:u w:val="single"/>
        </w:rPr>
        <w:t>Dílo</w:t>
      </w:r>
      <w:r w:rsidRPr="002A3309">
        <w:rPr>
          <w:rFonts w:ascii="Tahoma" w:hAnsi="Tahoma" w:cs="Tahoma"/>
          <w:bCs/>
          <w:sz w:val="19"/>
          <w:szCs w:val="19"/>
        </w:rPr>
        <w:t>“).</w:t>
      </w:r>
    </w:p>
    <w:p w14:paraId="271FACF2" w14:textId="77777777" w:rsidR="00EB430D" w:rsidRPr="002A3309" w:rsidRDefault="00EB430D" w:rsidP="00E41F01">
      <w:pPr>
        <w:tabs>
          <w:tab w:val="left" w:pos="7282"/>
        </w:tabs>
        <w:spacing w:after="30" w:line="276" w:lineRule="auto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ab/>
      </w:r>
    </w:p>
    <w:p w14:paraId="053A8DEB" w14:textId="61DBE49D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color w:val="FF0000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Byli jsme informováni, že Zhotovitel uzavřel s Objednatelem Smlouvu. Na základě Pod-článku 4.2 Smluvních podmínek </w:t>
      </w:r>
      <w:r w:rsidR="00BC40D1" w:rsidRPr="00BC40D1">
        <w:rPr>
          <w:rFonts w:ascii="Tahoma" w:hAnsi="Tahoma" w:cs="Tahoma"/>
          <w:sz w:val="19"/>
          <w:szCs w:val="19"/>
        </w:rPr>
        <w:t xml:space="preserve">pro dodávku technologických zařízení a projektování – výstavbu elektro a strojně technologického díla a pozemních a inženýrských staveb projektovaných zhotovitelem </w:t>
      </w:r>
      <w:r w:rsidRPr="002A3309">
        <w:rPr>
          <w:rFonts w:ascii="Tahoma" w:hAnsi="Tahoma" w:cs="Tahoma"/>
          <w:sz w:val="19"/>
          <w:szCs w:val="19"/>
        </w:rPr>
        <w:t xml:space="preserve">ve znění Zvláštních podmínek </w:t>
      </w:r>
      <w:r w:rsidRPr="002A3309">
        <w:rPr>
          <w:rFonts w:ascii="Tahoma" w:hAnsi="Tahoma" w:cs="Tahoma"/>
          <w:bCs/>
          <w:sz w:val="19"/>
          <w:szCs w:val="19"/>
        </w:rPr>
        <w:t>(dále jen „</w:t>
      </w:r>
      <w:r w:rsidRPr="002A3309">
        <w:rPr>
          <w:rFonts w:ascii="Tahoma" w:hAnsi="Tahoma" w:cs="Tahoma"/>
          <w:bCs/>
          <w:sz w:val="19"/>
          <w:szCs w:val="19"/>
          <w:u w:val="single"/>
        </w:rPr>
        <w:t>Smluvní podmínky</w:t>
      </w:r>
      <w:r w:rsidRPr="002A3309">
        <w:rPr>
          <w:rFonts w:ascii="Tahoma" w:hAnsi="Tahoma" w:cs="Tahoma"/>
          <w:bCs/>
          <w:sz w:val="19"/>
          <w:szCs w:val="19"/>
        </w:rPr>
        <w:t>“)</w:t>
      </w:r>
      <w:r w:rsidRPr="002A3309">
        <w:rPr>
          <w:rFonts w:ascii="Tahoma" w:hAnsi="Tahoma" w:cs="Tahoma"/>
          <w:sz w:val="19"/>
          <w:szCs w:val="19"/>
        </w:rPr>
        <w:t xml:space="preserve">, jež tvoří nedílnou součást Smlouvy, je Zhotovitel povinen zajistit řádné plnění svých povinností ze Smlouvy bankovní zárukou vystavenou ve prospěch Objednatele. Dále jsme byli informováni, že Zhotovitel </w:t>
      </w:r>
      <w:r w:rsidR="00D50F34" w:rsidRPr="002A3309">
        <w:rPr>
          <w:rFonts w:ascii="Tahoma" w:hAnsi="Tahoma" w:cs="Tahoma"/>
          <w:sz w:val="19"/>
          <w:szCs w:val="19"/>
        </w:rPr>
        <w:t xml:space="preserve">je povinen </w:t>
      </w:r>
      <w:r w:rsidRPr="002A3309">
        <w:rPr>
          <w:rFonts w:ascii="Tahoma" w:hAnsi="Tahoma" w:cs="Tahoma"/>
          <w:sz w:val="19"/>
          <w:szCs w:val="19"/>
        </w:rPr>
        <w:t>zajisti</w:t>
      </w:r>
      <w:r w:rsidR="00D50F34" w:rsidRPr="002A3309">
        <w:rPr>
          <w:rFonts w:ascii="Tahoma" w:hAnsi="Tahoma" w:cs="Tahoma"/>
          <w:sz w:val="19"/>
          <w:szCs w:val="19"/>
        </w:rPr>
        <w:t>t</w:t>
      </w:r>
      <w:r w:rsidRPr="002A3309">
        <w:rPr>
          <w:rFonts w:ascii="Tahoma" w:hAnsi="Tahoma" w:cs="Tahoma"/>
          <w:sz w:val="19"/>
          <w:szCs w:val="19"/>
        </w:rPr>
        <w:t xml:space="preserve"> prodloužení </w:t>
      </w:r>
      <w:r w:rsidR="00D50F34" w:rsidRPr="002A3309">
        <w:rPr>
          <w:rFonts w:ascii="Tahoma" w:hAnsi="Tahoma" w:cs="Tahoma"/>
          <w:sz w:val="19"/>
          <w:szCs w:val="19"/>
        </w:rPr>
        <w:t xml:space="preserve">platnosti </w:t>
      </w:r>
      <w:r w:rsidRPr="002A3309">
        <w:rPr>
          <w:rFonts w:ascii="Tahoma" w:hAnsi="Tahoma" w:cs="Tahoma"/>
          <w:sz w:val="19"/>
          <w:szCs w:val="19"/>
        </w:rPr>
        <w:t xml:space="preserve">této bankovní záruky, pokud má dojít k zániku této bankovní záruky dříve, než </w:t>
      </w:r>
      <w:r w:rsidR="00D50F34" w:rsidRPr="002A3309">
        <w:rPr>
          <w:rFonts w:ascii="Tahoma" w:hAnsi="Tahoma" w:cs="Tahoma"/>
          <w:sz w:val="19"/>
          <w:szCs w:val="19"/>
        </w:rPr>
        <w:t>uplyne Záruční doba, resp. nejdelší z dílčích Záručních dob, nebo dokud Zhotovitel nedokončí veškeré k datu dokončení známé nedokončené práce uvedené v Potvrzení o převzetí a neodstraní všechny vady, podle toho, která okolnost nastane později</w:t>
      </w:r>
      <w:r w:rsidR="00043006" w:rsidRPr="002A3309">
        <w:rPr>
          <w:rFonts w:ascii="Tahoma" w:hAnsi="Tahoma" w:cs="Tahoma"/>
          <w:sz w:val="19"/>
          <w:szCs w:val="19"/>
        </w:rPr>
        <w:t>.</w:t>
      </w:r>
    </w:p>
    <w:p w14:paraId="32632738" w14:textId="77777777" w:rsidR="00EB430D" w:rsidRPr="002A3309" w:rsidRDefault="00EB430D" w:rsidP="00E41F01">
      <w:pPr>
        <w:spacing w:after="30" w:line="276" w:lineRule="auto"/>
        <w:rPr>
          <w:rFonts w:ascii="Tahoma" w:hAnsi="Tahoma" w:cs="Tahoma"/>
          <w:sz w:val="19"/>
          <w:szCs w:val="19"/>
        </w:rPr>
      </w:pPr>
    </w:p>
    <w:p w14:paraId="20E467B0" w14:textId="7E89B82A" w:rsidR="00EB430D" w:rsidRPr="002A3309" w:rsidRDefault="00EB430D" w:rsidP="00E41F01">
      <w:pPr>
        <w:spacing w:after="12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Na žádost Zhotovitele se my, </w:t>
      </w:r>
      <w:r w:rsidR="00E31111" w:rsidRPr="002A3309">
        <w:rPr>
          <w:rFonts w:ascii="Tahoma" w:hAnsi="Tahoma" w:cs="Tahoma"/>
          <w:sz w:val="19"/>
          <w:szCs w:val="19"/>
        </w:rPr>
        <w:t>[</w:t>
      </w:r>
      <w:r w:rsidR="00E31111" w:rsidRPr="002A3309">
        <w:rPr>
          <w:rFonts w:ascii="Tahoma" w:hAnsi="Tahoma" w:cs="Tahoma"/>
          <w:sz w:val="19"/>
          <w:szCs w:val="19"/>
          <w:highlight w:val="cyan"/>
        </w:rPr>
        <w:t>bude doplněna obchodní firma, sídlo a IČO banky</w:t>
      </w:r>
      <w:r w:rsidR="00E31111" w:rsidRPr="002A3309">
        <w:rPr>
          <w:rFonts w:ascii="Tahoma" w:hAnsi="Tahoma" w:cs="Tahoma"/>
          <w:sz w:val="19"/>
          <w:szCs w:val="19"/>
        </w:rPr>
        <w:t>]</w:t>
      </w:r>
      <w:r w:rsidRPr="002A3309">
        <w:rPr>
          <w:rFonts w:ascii="Tahoma" w:hAnsi="Tahoma" w:cs="Tahoma"/>
          <w:bCs/>
          <w:sz w:val="19"/>
          <w:szCs w:val="19"/>
        </w:rPr>
        <w:t>,</w:t>
      </w:r>
      <w:r w:rsidRPr="002A3309">
        <w:rPr>
          <w:rFonts w:ascii="Tahoma" w:hAnsi="Tahoma" w:cs="Tahoma"/>
          <w:sz w:val="19"/>
          <w:szCs w:val="19"/>
        </w:rPr>
        <w:t xml:space="preserve"> na základě této bankovní záruky, referenční číslo </w:t>
      </w:r>
      <w:bookmarkStart w:id="0" w:name="_Hlk516433096"/>
      <w:r w:rsidRPr="002A3309">
        <w:rPr>
          <w:rFonts w:ascii="Tahoma" w:hAnsi="Tahoma" w:cs="Tahoma"/>
          <w:sz w:val="19"/>
          <w:szCs w:val="19"/>
        </w:rPr>
        <w:t>[</w:t>
      </w:r>
      <w:r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Pr="002A3309">
        <w:rPr>
          <w:rFonts w:ascii="Tahoma" w:hAnsi="Tahoma" w:cs="Tahoma"/>
          <w:sz w:val="19"/>
          <w:szCs w:val="19"/>
        </w:rPr>
        <w:t>]</w:t>
      </w:r>
      <w:bookmarkEnd w:id="0"/>
      <w:r w:rsidRPr="002A3309">
        <w:rPr>
          <w:rFonts w:ascii="Tahoma" w:hAnsi="Tahoma" w:cs="Tahoma"/>
          <w:sz w:val="19"/>
          <w:szCs w:val="19"/>
        </w:rPr>
        <w:t>,</w:t>
      </w:r>
      <w:r w:rsidRPr="002A3309">
        <w:rPr>
          <w:rFonts w:ascii="Tahoma" w:hAnsi="Tahoma" w:cs="Tahoma"/>
          <w:i/>
          <w:sz w:val="19"/>
          <w:szCs w:val="19"/>
        </w:rPr>
        <w:t xml:space="preserve"> </w:t>
      </w:r>
      <w:r w:rsidRPr="002A3309">
        <w:rPr>
          <w:rFonts w:ascii="Tahoma" w:hAnsi="Tahoma" w:cs="Tahoma"/>
          <w:sz w:val="19"/>
          <w:szCs w:val="19"/>
        </w:rPr>
        <w:t>tímto</w:t>
      </w:r>
      <w:r w:rsidRPr="002A3309">
        <w:rPr>
          <w:rFonts w:ascii="Tahoma" w:hAnsi="Tahoma" w:cs="Tahoma"/>
          <w:i/>
          <w:sz w:val="19"/>
          <w:szCs w:val="19"/>
        </w:rPr>
        <w:t xml:space="preserve"> </w:t>
      </w:r>
      <w:r w:rsidRPr="002A3309">
        <w:rPr>
          <w:rFonts w:ascii="Tahoma" w:hAnsi="Tahoma" w:cs="Tahoma"/>
          <w:sz w:val="19"/>
          <w:szCs w:val="19"/>
        </w:rPr>
        <w:t xml:space="preserve">neodvolatelně a bezpodmínečně zavazujeme, že Vám, Objednateli, vyplatíme bez nutnosti předchozí výzvy Zhotoviteli, bez námitek či omezujících podmínek a bez prověřování právního důvodu nároku jakoukoliv sumu nebo sumy nepřesahující celkem částku </w:t>
      </w:r>
      <w:r w:rsidR="00E31111" w:rsidRPr="002A3309">
        <w:rPr>
          <w:rFonts w:ascii="Tahoma" w:hAnsi="Tahoma" w:cs="Tahoma"/>
          <w:sz w:val="19"/>
          <w:szCs w:val="19"/>
        </w:rPr>
        <w:t>[</w:t>
      </w:r>
      <w:r w:rsidR="00E31111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="00E31111" w:rsidRPr="002A3309">
        <w:rPr>
          <w:rFonts w:ascii="Tahoma" w:hAnsi="Tahoma" w:cs="Tahoma"/>
          <w:sz w:val="19"/>
          <w:szCs w:val="19"/>
        </w:rPr>
        <w:t>]</w:t>
      </w:r>
      <w:r w:rsidRPr="002A3309">
        <w:rPr>
          <w:rFonts w:ascii="Tahoma" w:hAnsi="Tahoma" w:cs="Tahoma"/>
          <w:sz w:val="19"/>
          <w:szCs w:val="19"/>
        </w:rPr>
        <w:t xml:space="preserve"> Kč (slovy: </w:t>
      </w:r>
      <w:r w:rsidR="00E31111" w:rsidRPr="002A3309">
        <w:rPr>
          <w:rFonts w:ascii="Tahoma" w:hAnsi="Tahoma" w:cs="Tahoma"/>
          <w:sz w:val="19"/>
          <w:szCs w:val="19"/>
        </w:rPr>
        <w:t>[</w:t>
      </w:r>
      <w:r w:rsidR="00E31111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="00E31111" w:rsidRPr="002A3309">
        <w:rPr>
          <w:rFonts w:ascii="Tahoma" w:hAnsi="Tahoma" w:cs="Tahoma"/>
          <w:sz w:val="19"/>
          <w:szCs w:val="19"/>
        </w:rPr>
        <w:t>]</w:t>
      </w:r>
      <w:r w:rsidRPr="002A3309">
        <w:rPr>
          <w:rFonts w:ascii="Tahoma" w:hAnsi="Tahoma" w:cs="Tahoma"/>
          <w:sz w:val="19"/>
          <w:szCs w:val="19"/>
        </w:rPr>
        <w:t>) dále jen „</w:t>
      </w:r>
      <w:r w:rsidRPr="002A3309">
        <w:rPr>
          <w:rFonts w:ascii="Tahoma" w:hAnsi="Tahoma" w:cs="Tahoma"/>
          <w:sz w:val="19"/>
          <w:szCs w:val="19"/>
          <w:u w:val="single"/>
        </w:rPr>
        <w:t>Zaručená částka</w:t>
      </w:r>
      <w:r w:rsidR="005938C1" w:rsidRPr="002A3309">
        <w:rPr>
          <w:rFonts w:ascii="Tahoma" w:hAnsi="Tahoma" w:cs="Tahoma"/>
          <w:sz w:val="19"/>
          <w:szCs w:val="19"/>
        </w:rPr>
        <w:t>“), obdržíme-li od</w:t>
      </w:r>
      <w:r w:rsidRPr="002A3309">
        <w:rPr>
          <w:rFonts w:ascii="Tahoma" w:hAnsi="Tahoma" w:cs="Tahoma"/>
          <w:sz w:val="19"/>
          <w:szCs w:val="19"/>
        </w:rPr>
        <w:t xml:space="preserve"> Objednatele písemnou žádost v českém jazyce, která bude v souladu se všemi podmínkami této bankovní záruky, obsahující referenční číslo této bankovní záruky a prohlášení, že Smlouva nabyla účinnosti a že: </w:t>
      </w:r>
    </w:p>
    <w:p w14:paraId="756A8454" w14:textId="5F634F87" w:rsidR="008822C4" w:rsidRPr="002A3309" w:rsidRDefault="008822C4" w:rsidP="00E41F01">
      <w:pPr>
        <w:numPr>
          <w:ilvl w:val="0"/>
          <w:numId w:val="3"/>
        </w:numPr>
        <w:suppressAutoHyphens w:val="0"/>
        <w:spacing w:after="120" w:line="276" w:lineRule="auto"/>
        <w:ind w:left="709" w:hanging="567"/>
        <w:jc w:val="both"/>
        <w:rPr>
          <w:rFonts w:ascii="Tahoma" w:hAnsi="Tahoma" w:cs="Tahoma"/>
          <w:sz w:val="19"/>
          <w:szCs w:val="19"/>
        </w:rPr>
      </w:pPr>
      <w:bookmarkStart w:id="1" w:name="_Hlk105079074"/>
      <w:r w:rsidRPr="002A3309">
        <w:rPr>
          <w:rFonts w:ascii="Tahoma" w:hAnsi="Tahoma" w:cs="Tahoma"/>
          <w:sz w:val="19"/>
          <w:szCs w:val="19"/>
        </w:rPr>
        <w:t>Zhotovitel porušil svou (své) povinnost (i) vyplývající ze Smlouvy nebo technických norem nebo právních předpisů a v jakém ohledu je porušil, a Objednateli z takového porušení dle Smlouvy vzniklo právo na smluvní pokutu,</w:t>
      </w:r>
      <w:r w:rsidR="004A54F6">
        <w:rPr>
          <w:rFonts w:ascii="Tahoma" w:hAnsi="Tahoma" w:cs="Tahoma"/>
          <w:sz w:val="19"/>
          <w:szCs w:val="19"/>
        </w:rPr>
        <w:t xml:space="preserve"> slevu z ceny Díla,</w:t>
      </w:r>
      <w:r w:rsidRPr="002A3309">
        <w:rPr>
          <w:rFonts w:ascii="Tahoma" w:hAnsi="Tahoma" w:cs="Tahoma"/>
          <w:sz w:val="19"/>
          <w:szCs w:val="19"/>
        </w:rPr>
        <w:t xml:space="preserve"> náhradu škody či jiné újmy či vydání bezdůvodného obohacení, nebo nárok na jakékoliv jiné finanční plnění (ať už sankčního, reparačního, restitučního či jiného charakteru), </w:t>
      </w:r>
      <w:bookmarkEnd w:id="1"/>
      <w:r w:rsidRPr="002A3309">
        <w:rPr>
          <w:rFonts w:ascii="Tahoma" w:hAnsi="Tahoma" w:cs="Tahoma"/>
          <w:sz w:val="19"/>
          <w:szCs w:val="19"/>
        </w:rPr>
        <w:t>nebo</w:t>
      </w:r>
    </w:p>
    <w:p w14:paraId="12638FF7" w14:textId="0D400494" w:rsidR="008822C4" w:rsidRPr="002A3309" w:rsidRDefault="008822C4" w:rsidP="00E41F01">
      <w:pPr>
        <w:pStyle w:val="Odstavecseseznamem"/>
        <w:numPr>
          <w:ilvl w:val="0"/>
          <w:numId w:val="3"/>
        </w:numPr>
        <w:spacing w:after="120" w:line="276" w:lineRule="auto"/>
        <w:ind w:left="709" w:hanging="567"/>
        <w:contextualSpacing w:val="0"/>
        <w:jc w:val="both"/>
        <w:rPr>
          <w:rFonts w:ascii="Tahoma" w:eastAsia="Times New Roman" w:hAnsi="Tahoma" w:cs="Tahoma"/>
          <w:color w:val="auto"/>
          <w:sz w:val="19"/>
          <w:szCs w:val="19"/>
          <w:lang w:eastAsia="ar-SA" w:bidi="ar-SA"/>
        </w:rPr>
      </w:pPr>
      <w:r w:rsidRPr="002A3309">
        <w:rPr>
          <w:rFonts w:ascii="Tahoma" w:eastAsia="Times New Roman" w:hAnsi="Tahoma" w:cs="Tahoma"/>
          <w:color w:val="auto"/>
          <w:sz w:val="19"/>
          <w:szCs w:val="19"/>
          <w:lang w:eastAsia="ar-SA" w:bidi="ar-SA"/>
        </w:rPr>
        <w:t xml:space="preserve">Zhotovitel neprodloužil platnost Záruky za plnění tak, jak je popsáno v Pod-článku 4.2 </w:t>
      </w:r>
      <w:r w:rsidRPr="002A3309">
        <w:rPr>
          <w:rFonts w:ascii="Tahoma" w:eastAsia="Times New Roman" w:hAnsi="Tahoma" w:cs="Tahoma"/>
          <w:i/>
          <w:color w:val="auto"/>
          <w:sz w:val="19"/>
          <w:szCs w:val="19"/>
          <w:lang w:eastAsia="ar-SA" w:bidi="ar-SA"/>
        </w:rPr>
        <w:t>(</w:t>
      </w:r>
      <w:r w:rsidR="00996901" w:rsidRPr="002A3309">
        <w:rPr>
          <w:rFonts w:ascii="Tahoma" w:eastAsia="Times New Roman" w:hAnsi="Tahoma" w:cs="Tahoma"/>
          <w:i/>
          <w:color w:val="auto"/>
          <w:sz w:val="19"/>
          <w:szCs w:val="19"/>
          <w:lang w:eastAsia="ar-SA" w:bidi="ar-SA"/>
        </w:rPr>
        <w:t>Záruka za plnění a odstranění vad</w:t>
      </w:r>
      <w:r w:rsidRPr="002A3309">
        <w:rPr>
          <w:rFonts w:ascii="Tahoma" w:eastAsia="Times New Roman" w:hAnsi="Tahoma" w:cs="Tahoma"/>
          <w:i/>
          <w:color w:val="auto"/>
          <w:sz w:val="19"/>
          <w:szCs w:val="19"/>
          <w:lang w:eastAsia="ar-SA" w:bidi="ar-SA"/>
        </w:rPr>
        <w:t xml:space="preserve">) </w:t>
      </w:r>
      <w:r w:rsidRPr="002A3309">
        <w:rPr>
          <w:rFonts w:ascii="Tahoma" w:eastAsia="Times New Roman" w:hAnsi="Tahoma" w:cs="Tahoma"/>
          <w:color w:val="auto"/>
          <w:sz w:val="19"/>
          <w:szCs w:val="19"/>
          <w:lang w:eastAsia="ar-SA" w:bidi="ar-SA"/>
        </w:rPr>
        <w:t>Smluvních podmínek, kdy v takovém případě může Objednatel nárokovat plnou částku Záruky za plnění, nebo</w:t>
      </w:r>
    </w:p>
    <w:p w14:paraId="1096BD8A" w14:textId="7E2FE2B4" w:rsidR="008822C4" w:rsidRPr="002A3309" w:rsidRDefault="008822C4" w:rsidP="00E41F01">
      <w:pPr>
        <w:pStyle w:val="Odstavecseseznamem"/>
        <w:numPr>
          <w:ilvl w:val="0"/>
          <w:numId w:val="3"/>
        </w:numPr>
        <w:spacing w:after="120" w:line="276" w:lineRule="auto"/>
        <w:ind w:left="709" w:hanging="567"/>
        <w:contextualSpacing w:val="0"/>
        <w:jc w:val="both"/>
        <w:rPr>
          <w:rFonts w:ascii="Tahoma" w:eastAsia="Times New Roman" w:hAnsi="Tahoma" w:cs="Tahoma"/>
          <w:color w:val="auto"/>
          <w:sz w:val="19"/>
          <w:szCs w:val="19"/>
          <w:lang w:eastAsia="ar-SA" w:bidi="ar-SA"/>
        </w:rPr>
      </w:pPr>
      <w:r w:rsidRPr="002A3309">
        <w:rPr>
          <w:rFonts w:ascii="Tahoma" w:eastAsia="Times New Roman" w:hAnsi="Tahoma" w:cs="Tahoma"/>
          <w:color w:val="auto"/>
          <w:sz w:val="19"/>
          <w:szCs w:val="19"/>
          <w:lang w:eastAsia="ar-SA" w:bidi="ar-SA"/>
        </w:rPr>
        <w:lastRenderedPageBreak/>
        <w:t xml:space="preserve">do 42 dnů po dohodě nebo určení Zhotovitel nezaplatil Objednateli částku, která Objednateli náleží, ačkoli částka byla se Zhotovitelem dohodnuta nebo určena podle Pod-článku 2.5 </w:t>
      </w:r>
      <w:r w:rsidRPr="002A3309">
        <w:rPr>
          <w:rFonts w:ascii="Tahoma" w:eastAsia="Times New Roman" w:hAnsi="Tahoma" w:cs="Tahoma"/>
          <w:i/>
          <w:color w:val="auto"/>
          <w:sz w:val="19"/>
          <w:szCs w:val="19"/>
          <w:lang w:eastAsia="ar-SA" w:bidi="ar-SA"/>
        </w:rPr>
        <w:t>(Claimy objednatele)</w:t>
      </w:r>
      <w:r w:rsidRPr="002A3309">
        <w:rPr>
          <w:rFonts w:ascii="Tahoma" w:eastAsia="Times New Roman" w:hAnsi="Tahoma" w:cs="Tahoma"/>
          <w:color w:val="auto"/>
          <w:sz w:val="19"/>
          <w:szCs w:val="19"/>
          <w:lang w:eastAsia="ar-SA" w:bidi="ar-SA"/>
        </w:rPr>
        <w:t xml:space="preserve"> nebo Článku 20 </w:t>
      </w:r>
      <w:r w:rsidRPr="002A3309">
        <w:rPr>
          <w:rFonts w:ascii="Tahoma" w:eastAsia="Times New Roman" w:hAnsi="Tahoma" w:cs="Tahoma"/>
          <w:i/>
          <w:color w:val="auto"/>
          <w:sz w:val="19"/>
          <w:szCs w:val="19"/>
          <w:lang w:eastAsia="ar-SA" w:bidi="ar-SA"/>
        </w:rPr>
        <w:t>(Claimy, spory a rozhodčí řízení)</w:t>
      </w:r>
      <w:r w:rsidRPr="002A3309">
        <w:rPr>
          <w:rFonts w:ascii="Tahoma" w:eastAsia="Times New Roman" w:hAnsi="Tahoma" w:cs="Tahoma"/>
          <w:color w:val="auto"/>
          <w:sz w:val="19"/>
          <w:szCs w:val="19"/>
          <w:lang w:eastAsia="ar-SA" w:bidi="ar-SA"/>
        </w:rPr>
        <w:t xml:space="preserve"> Smluvních podmínek, </w:t>
      </w:r>
      <w:r w:rsidRPr="002A3309">
        <w:rPr>
          <w:rFonts w:ascii="Tahoma" w:hAnsi="Tahoma" w:cs="Tahoma"/>
          <w:color w:val="auto"/>
          <w:sz w:val="19"/>
          <w:szCs w:val="19"/>
        </w:rPr>
        <w:t>včetně nároku na zaplacení smluvní pokuty dle Pod-článku 4.2</w:t>
      </w:r>
      <w:r w:rsidR="00862774">
        <w:rPr>
          <w:rFonts w:ascii="Tahoma" w:hAnsi="Tahoma" w:cs="Tahoma"/>
          <w:color w:val="auto"/>
          <w:sz w:val="19"/>
          <w:szCs w:val="19"/>
        </w:rPr>
        <w:t>6</w:t>
      </w:r>
      <w:r w:rsidRPr="002A3309">
        <w:rPr>
          <w:rFonts w:ascii="Tahoma" w:hAnsi="Tahoma" w:cs="Tahoma"/>
          <w:color w:val="auto"/>
          <w:sz w:val="19"/>
          <w:szCs w:val="19"/>
        </w:rPr>
        <w:t xml:space="preserve"> Smluvních podmínek, nebo</w:t>
      </w:r>
    </w:p>
    <w:p w14:paraId="01F22390" w14:textId="77777777" w:rsidR="008822C4" w:rsidRPr="002A3309" w:rsidRDefault="008822C4" w:rsidP="00E41F01">
      <w:pPr>
        <w:numPr>
          <w:ilvl w:val="0"/>
          <w:numId w:val="3"/>
        </w:numPr>
        <w:suppressAutoHyphens w:val="0"/>
        <w:spacing w:after="120" w:line="276" w:lineRule="auto"/>
        <w:ind w:left="709" w:hanging="567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do 42 dnů po tom, co Zhotovitel obdržel oznámení Objednatele požadující nápravu porušené smluvní povinnosti</w:t>
      </w:r>
      <w:r w:rsidR="00AB0E1D" w:rsidRPr="002A3309">
        <w:rPr>
          <w:rFonts w:ascii="Tahoma" w:hAnsi="Tahoma" w:cs="Tahoma"/>
          <w:sz w:val="19"/>
          <w:szCs w:val="19"/>
        </w:rPr>
        <w:t xml:space="preserve">, </w:t>
      </w:r>
      <w:r w:rsidRPr="002A3309">
        <w:rPr>
          <w:rFonts w:ascii="Tahoma" w:hAnsi="Tahoma" w:cs="Tahoma"/>
          <w:sz w:val="19"/>
          <w:szCs w:val="19"/>
        </w:rPr>
        <w:t xml:space="preserve">Zhotovitel </w:t>
      </w:r>
      <w:r w:rsidR="00AB0E1D" w:rsidRPr="002A3309">
        <w:rPr>
          <w:rFonts w:ascii="Tahoma" w:hAnsi="Tahoma" w:cs="Tahoma"/>
          <w:sz w:val="19"/>
          <w:szCs w:val="19"/>
        </w:rPr>
        <w:t xml:space="preserve">toto </w:t>
      </w:r>
      <w:r w:rsidRPr="002A3309">
        <w:rPr>
          <w:rFonts w:ascii="Tahoma" w:hAnsi="Tahoma" w:cs="Tahoma"/>
          <w:sz w:val="19"/>
          <w:szCs w:val="19"/>
        </w:rPr>
        <w:t>porušení smluvní povinnosti nenapravil, nebo</w:t>
      </w:r>
    </w:p>
    <w:p w14:paraId="17DF81AA" w14:textId="23A418E7" w:rsidR="007D71BF" w:rsidRPr="002A3309" w:rsidRDefault="007D71BF" w:rsidP="00E41F01">
      <w:pPr>
        <w:numPr>
          <w:ilvl w:val="0"/>
          <w:numId w:val="3"/>
        </w:numPr>
        <w:suppressAutoHyphens w:val="0"/>
        <w:spacing w:after="120" w:line="276" w:lineRule="auto"/>
        <w:ind w:left="709" w:hanging="567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do 42 dnů poté, co obdržel oznámení Objednatele, v němž bylo požadováno odstranění vady</w:t>
      </w:r>
      <w:r w:rsidR="0003052A">
        <w:rPr>
          <w:rFonts w:ascii="Tahoma" w:hAnsi="Tahoma" w:cs="Tahoma"/>
          <w:sz w:val="19"/>
          <w:szCs w:val="19"/>
        </w:rPr>
        <w:t>,</w:t>
      </w:r>
      <w:r w:rsidRPr="002A3309">
        <w:rPr>
          <w:rFonts w:ascii="Tahoma" w:hAnsi="Tahoma" w:cs="Tahoma"/>
          <w:sz w:val="19"/>
          <w:szCs w:val="19"/>
        </w:rPr>
        <w:t xml:space="preserve"> Zhotovitel nedokončí veškeré práce, které zbývá vykonat v den uvedený v Potvrzení o převzetí </w:t>
      </w:r>
      <w:r w:rsidR="00DA4A04" w:rsidRPr="002A3309">
        <w:rPr>
          <w:rFonts w:ascii="Tahoma" w:hAnsi="Tahoma" w:cs="Tahoma"/>
          <w:sz w:val="19"/>
          <w:szCs w:val="19"/>
        </w:rPr>
        <w:t>a</w:t>
      </w:r>
      <w:r w:rsidR="00DA4A04">
        <w:rPr>
          <w:rFonts w:ascii="Tahoma" w:hAnsi="Tahoma" w:cs="Tahoma"/>
          <w:sz w:val="19"/>
          <w:szCs w:val="19"/>
        </w:rPr>
        <w:t> </w:t>
      </w:r>
      <w:r w:rsidRPr="002A3309">
        <w:rPr>
          <w:rFonts w:ascii="Tahoma" w:hAnsi="Tahoma" w:cs="Tahoma"/>
          <w:sz w:val="19"/>
          <w:szCs w:val="19"/>
        </w:rPr>
        <w:t>neodstraní vadu</w:t>
      </w:r>
      <w:r w:rsidR="00B50E50">
        <w:rPr>
          <w:rFonts w:ascii="Tahoma" w:hAnsi="Tahoma" w:cs="Tahoma"/>
          <w:sz w:val="19"/>
          <w:szCs w:val="19"/>
        </w:rPr>
        <w:t>, nebo</w:t>
      </w:r>
    </w:p>
    <w:p w14:paraId="414B0947" w14:textId="750D3CB9" w:rsidR="008822C4" w:rsidRPr="002A3309" w:rsidRDefault="008822C4" w:rsidP="00E41F01">
      <w:pPr>
        <w:numPr>
          <w:ilvl w:val="0"/>
          <w:numId w:val="3"/>
        </w:numPr>
        <w:suppressAutoHyphens w:val="0"/>
        <w:spacing w:after="120" w:line="276" w:lineRule="auto"/>
        <w:ind w:left="709" w:hanging="567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došlo k odstoupení Objednatelem podle Pod-článku 15.2 </w:t>
      </w:r>
      <w:r w:rsidRPr="002A3309">
        <w:rPr>
          <w:rFonts w:ascii="Tahoma" w:hAnsi="Tahoma" w:cs="Tahoma"/>
          <w:i/>
          <w:sz w:val="19"/>
          <w:szCs w:val="19"/>
        </w:rPr>
        <w:t>(Odstoupení objednatelem)</w:t>
      </w:r>
      <w:r w:rsidRPr="002A3309">
        <w:rPr>
          <w:rFonts w:ascii="Tahoma" w:hAnsi="Tahoma" w:cs="Tahoma"/>
          <w:sz w:val="19"/>
          <w:szCs w:val="19"/>
        </w:rPr>
        <w:t xml:space="preserve"> Smluvních podmínek.</w:t>
      </w:r>
    </w:p>
    <w:p w14:paraId="76AFCAF3" w14:textId="77777777" w:rsidR="00EB430D" w:rsidRPr="002A3309" w:rsidRDefault="008822C4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 </w:t>
      </w:r>
      <w:r w:rsidR="00EB430D" w:rsidRPr="002A3309">
        <w:rPr>
          <w:rFonts w:ascii="Tahoma" w:hAnsi="Tahoma" w:cs="Tahoma"/>
          <w:sz w:val="19"/>
          <w:szCs w:val="19"/>
        </w:rPr>
        <w:t>(dále jen „</w:t>
      </w:r>
      <w:r w:rsidR="00EB430D" w:rsidRPr="002A3309">
        <w:rPr>
          <w:rFonts w:ascii="Tahoma" w:hAnsi="Tahoma" w:cs="Tahoma"/>
          <w:sz w:val="19"/>
          <w:szCs w:val="19"/>
          <w:u w:val="single"/>
        </w:rPr>
        <w:t>Žádost o platbu</w:t>
      </w:r>
      <w:r w:rsidR="00EB430D" w:rsidRPr="002A3309">
        <w:rPr>
          <w:rFonts w:ascii="Tahoma" w:hAnsi="Tahoma" w:cs="Tahoma"/>
          <w:sz w:val="19"/>
          <w:szCs w:val="19"/>
        </w:rPr>
        <w:t>“).</w:t>
      </w:r>
    </w:p>
    <w:p w14:paraId="5109BB2C" w14:textId="77777777" w:rsidR="00EB430D" w:rsidRPr="002A3309" w:rsidRDefault="00EB430D" w:rsidP="00E41F01">
      <w:pPr>
        <w:spacing w:after="30" w:line="276" w:lineRule="auto"/>
        <w:rPr>
          <w:rFonts w:ascii="Tahoma" w:hAnsi="Tahoma" w:cs="Tahoma"/>
          <w:sz w:val="19"/>
          <w:szCs w:val="19"/>
        </w:rPr>
      </w:pPr>
    </w:p>
    <w:p w14:paraId="7D5E5A3A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Každá Žádost o platbu a/</w:t>
      </w:r>
      <w:r w:rsidR="00AB0E1D" w:rsidRPr="002A3309">
        <w:rPr>
          <w:rFonts w:ascii="Tahoma" w:hAnsi="Tahoma" w:cs="Tahoma"/>
          <w:sz w:val="19"/>
          <w:szCs w:val="19"/>
        </w:rPr>
        <w:t xml:space="preserve"> </w:t>
      </w:r>
      <w:r w:rsidRPr="002A3309">
        <w:rPr>
          <w:rFonts w:ascii="Tahoma" w:hAnsi="Tahoma" w:cs="Tahoma"/>
          <w:sz w:val="19"/>
          <w:szCs w:val="19"/>
        </w:rPr>
        <w:t xml:space="preserve">nebo níže uvedené prohlášení o zproštění povinností z této bankovní záruky nám musí být prezentovány v listinné podobě a doručeny na naši adresu </w:t>
      </w:r>
      <w:r w:rsidR="00E31111" w:rsidRPr="002A3309">
        <w:rPr>
          <w:rFonts w:ascii="Tahoma" w:hAnsi="Tahoma" w:cs="Tahoma"/>
          <w:sz w:val="19"/>
          <w:szCs w:val="19"/>
        </w:rPr>
        <w:t>[</w:t>
      </w:r>
      <w:r w:rsidR="00E31111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="00E31111" w:rsidRPr="002A3309">
        <w:rPr>
          <w:rFonts w:ascii="Tahoma" w:hAnsi="Tahoma" w:cs="Tahoma"/>
          <w:sz w:val="19"/>
          <w:szCs w:val="19"/>
        </w:rPr>
        <w:t>]</w:t>
      </w:r>
      <w:r w:rsidRPr="002A3309">
        <w:rPr>
          <w:rFonts w:ascii="Tahoma" w:hAnsi="Tahoma" w:cs="Tahoma"/>
          <w:sz w:val="19"/>
          <w:szCs w:val="19"/>
        </w:rPr>
        <w:t xml:space="preserve"> doporučenou poštou, kurýrní službou nebo osobně a musí obsahovat vlastnoruční podpis Vašeho statutárního orgánu nebo Vámi zmocněné osoby, který musí být ověřen úředně nebo Vaší bankou. V případě podpisu zmocněnou osobou musí být přiložen i originál nebo úředně ověřená kopie plné moci s úředně ověřeným podpisem Vašeho statutárního orgánu. Jakékoli jiné způsoby prezentace a doručení Žádosti o platbu a/ nebo prohlášení o zproštění povinností z této bankovní záruky jsou výslovně vyloučeny. Žádné další dokumenty nebudou z naší strany požadovány jako podmínka vyplacení požadované částky z této bankovní záruky.</w:t>
      </w:r>
    </w:p>
    <w:p w14:paraId="27B85BB5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</w:p>
    <w:p w14:paraId="66A2F350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bCs/>
          <w:sz w:val="19"/>
          <w:szCs w:val="19"/>
        </w:rPr>
        <w:t xml:space="preserve">Změna výše uvedené adresy, na kterou nám má být prezentována Žádost o platbu </w:t>
      </w:r>
      <w:r w:rsidRPr="002A3309">
        <w:rPr>
          <w:rFonts w:ascii="Tahoma" w:hAnsi="Tahoma" w:cs="Tahoma"/>
          <w:sz w:val="19"/>
          <w:szCs w:val="19"/>
        </w:rPr>
        <w:t>a/ nebo níže uvedené prohlášení o zproštění povinností z této bankovní záruky</w:t>
      </w:r>
      <w:r w:rsidRPr="002A3309">
        <w:rPr>
          <w:rFonts w:ascii="Tahoma" w:hAnsi="Tahoma" w:cs="Tahoma"/>
          <w:bCs/>
          <w:sz w:val="19"/>
          <w:szCs w:val="19"/>
        </w:rPr>
        <w:t>, je vůči Vám účinná uplynutím pěti pracovních dnů ode dne, kdy Vám bude doručeno naše písemné oznámení o</w:t>
      </w:r>
      <w:r w:rsidR="00A3332F" w:rsidRPr="002A3309">
        <w:rPr>
          <w:rFonts w:ascii="Tahoma" w:hAnsi="Tahoma" w:cs="Tahoma"/>
          <w:bCs/>
          <w:sz w:val="19"/>
          <w:szCs w:val="19"/>
        </w:rPr>
        <w:t> </w:t>
      </w:r>
      <w:r w:rsidRPr="002A3309">
        <w:rPr>
          <w:rFonts w:ascii="Tahoma" w:hAnsi="Tahoma" w:cs="Tahoma"/>
          <w:bCs/>
          <w:sz w:val="19"/>
          <w:szCs w:val="19"/>
        </w:rPr>
        <w:t xml:space="preserve">změně této adresy. </w:t>
      </w:r>
    </w:p>
    <w:p w14:paraId="145D259F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</w:p>
    <w:p w14:paraId="54790B45" w14:textId="77777777" w:rsidR="00EB430D" w:rsidRPr="002A3309" w:rsidRDefault="00EB430D" w:rsidP="00E41F01">
      <w:pPr>
        <w:spacing w:after="12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Tato bankovní záruka je platná a účinná od data vystavení uvedeného níže, s tím, že zaniká automaticky:</w:t>
      </w:r>
    </w:p>
    <w:p w14:paraId="42B22CFC" w14:textId="77777777" w:rsidR="00EB430D" w:rsidRPr="002A3309" w:rsidRDefault="00EB430D" w:rsidP="00E41F01">
      <w:pPr>
        <w:numPr>
          <w:ilvl w:val="0"/>
          <w:numId w:val="2"/>
        </w:numPr>
        <w:suppressAutoHyphens w:val="0"/>
        <w:spacing w:after="120" w:line="276" w:lineRule="auto"/>
        <w:ind w:left="567" w:hanging="425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v den, kdy nám bude doručen (vrácen) originál této záruční listiny, nebo</w:t>
      </w:r>
    </w:p>
    <w:p w14:paraId="48748DFF" w14:textId="77777777" w:rsidR="00EB430D" w:rsidRPr="002A3309" w:rsidRDefault="00EB430D" w:rsidP="00E41F01">
      <w:pPr>
        <w:numPr>
          <w:ilvl w:val="0"/>
          <w:numId w:val="2"/>
        </w:numPr>
        <w:suppressAutoHyphens w:val="0"/>
        <w:spacing w:after="120" w:line="276" w:lineRule="auto"/>
        <w:ind w:left="567" w:hanging="425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v den, kdy obdržíme od Objednatele prohlášení o tom, že nás zprošťuje veškerých povinností z této bankovní záruky a že vůči nám nemá žádné nároky z ní plynoucí, nebo</w:t>
      </w:r>
    </w:p>
    <w:p w14:paraId="3A78504B" w14:textId="77777777" w:rsidR="00EB430D" w:rsidRPr="002A3309" w:rsidRDefault="00EB430D" w:rsidP="00E41F01">
      <w:pPr>
        <w:numPr>
          <w:ilvl w:val="0"/>
          <w:numId w:val="2"/>
        </w:numPr>
        <w:suppressAutoHyphens w:val="0"/>
        <w:spacing w:after="120" w:line="276" w:lineRule="auto"/>
        <w:ind w:left="567" w:hanging="425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vyplacením celé Zaručené částky, nebo</w:t>
      </w:r>
    </w:p>
    <w:p w14:paraId="34AD3339" w14:textId="77777777" w:rsidR="00EB430D" w:rsidRPr="002A3309" w:rsidRDefault="00EB430D" w:rsidP="00E41F01">
      <w:pPr>
        <w:numPr>
          <w:ilvl w:val="0"/>
          <w:numId w:val="2"/>
        </w:numPr>
        <w:suppressAutoHyphens w:val="0"/>
        <w:spacing w:after="120" w:line="276" w:lineRule="auto"/>
        <w:ind w:left="567" w:hanging="425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dne </w:t>
      </w:r>
      <w:r w:rsidR="00E31111" w:rsidRPr="002A3309">
        <w:rPr>
          <w:rFonts w:ascii="Tahoma" w:hAnsi="Tahoma" w:cs="Tahoma"/>
          <w:sz w:val="19"/>
          <w:szCs w:val="19"/>
        </w:rPr>
        <w:t>[</w:t>
      </w:r>
      <w:r w:rsidR="00E31111" w:rsidRPr="002A3309">
        <w:rPr>
          <w:rFonts w:ascii="Tahoma" w:hAnsi="Tahoma" w:cs="Tahoma"/>
          <w:sz w:val="19"/>
          <w:szCs w:val="19"/>
          <w:highlight w:val="cyan"/>
        </w:rPr>
        <w:t>bude doplněno</w:t>
      </w:r>
      <w:r w:rsidR="00E31111" w:rsidRPr="002A3309">
        <w:rPr>
          <w:rFonts w:ascii="Tahoma" w:hAnsi="Tahoma" w:cs="Tahoma"/>
          <w:sz w:val="19"/>
          <w:szCs w:val="19"/>
        </w:rPr>
        <w:t>]</w:t>
      </w:r>
      <w:r w:rsidRPr="002A3309">
        <w:rPr>
          <w:rFonts w:ascii="Tahoma" w:hAnsi="Tahoma" w:cs="Tahoma"/>
          <w:sz w:val="19"/>
          <w:szCs w:val="19"/>
        </w:rPr>
        <w:t>,</w:t>
      </w:r>
    </w:p>
    <w:p w14:paraId="7392F3B6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podle toho, která z uvedených skutečností nastane dříve. </w:t>
      </w:r>
    </w:p>
    <w:p w14:paraId="679C7D6F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</w:p>
    <w:p w14:paraId="7984EFF3" w14:textId="45D36C34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 xml:space="preserve">Je nutno, abychom Žádost o platbu obdrželi v naší bance nejpozději v den zániku této bankovní záruky, jak </w:t>
      </w:r>
      <w:r w:rsidR="0003052A">
        <w:rPr>
          <w:rFonts w:ascii="Tahoma" w:hAnsi="Tahoma" w:cs="Tahoma"/>
          <w:sz w:val="19"/>
          <w:szCs w:val="19"/>
        </w:rPr>
        <w:t xml:space="preserve">je </w:t>
      </w:r>
      <w:r w:rsidRPr="002A3309">
        <w:rPr>
          <w:rFonts w:ascii="Tahoma" w:hAnsi="Tahoma" w:cs="Tahoma"/>
          <w:sz w:val="19"/>
          <w:szCs w:val="19"/>
        </w:rPr>
        <w:t>uvedeno výše.</w:t>
      </w:r>
    </w:p>
    <w:p w14:paraId="7BF63B4E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</w:p>
    <w:p w14:paraId="304E0D42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Tato bankovní záruka se řídí právem České republiky a podléhá „Jednotným pravidlům pro záruky vyplatitelné na požádání“, která pod číslem 758 vydala Mezinárodní obchodní komora v Paříži.</w:t>
      </w:r>
    </w:p>
    <w:p w14:paraId="3D5F6270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</w:p>
    <w:p w14:paraId="0F5024C7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Vystaveno v _________________</w:t>
      </w:r>
    </w:p>
    <w:p w14:paraId="109FA1B7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</w:p>
    <w:p w14:paraId="570B9E87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Datum _________________</w:t>
      </w:r>
    </w:p>
    <w:p w14:paraId="73CD91F5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</w:p>
    <w:p w14:paraId="306559F1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sz w:val="19"/>
          <w:szCs w:val="19"/>
        </w:rPr>
      </w:pPr>
      <w:r w:rsidRPr="002A3309">
        <w:rPr>
          <w:rFonts w:ascii="Tahoma" w:hAnsi="Tahoma" w:cs="Tahoma"/>
          <w:sz w:val="19"/>
          <w:szCs w:val="19"/>
        </w:rPr>
        <w:t>Podpis(y) _________________</w:t>
      </w:r>
    </w:p>
    <w:p w14:paraId="3B3848CB" w14:textId="77777777" w:rsidR="00EB430D" w:rsidRPr="002A3309" w:rsidRDefault="00EB430D" w:rsidP="00E41F01">
      <w:pPr>
        <w:spacing w:after="3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</w:p>
    <w:p w14:paraId="794D7034" w14:textId="77777777" w:rsidR="009860DA" w:rsidRPr="002A3309" w:rsidRDefault="009860DA" w:rsidP="00E41F01">
      <w:pPr>
        <w:spacing w:after="30" w:line="276" w:lineRule="auto"/>
        <w:ind w:left="5664" w:firstLine="708"/>
        <w:jc w:val="right"/>
        <w:rPr>
          <w:rFonts w:ascii="Tahoma" w:hAnsi="Tahoma" w:cs="Tahoma"/>
          <w:sz w:val="19"/>
          <w:szCs w:val="19"/>
        </w:rPr>
      </w:pPr>
    </w:p>
    <w:sectPr w:rsidR="009860DA" w:rsidRPr="002A3309" w:rsidSect="00A3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BCC3" w14:textId="77777777" w:rsidR="002878C9" w:rsidRDefault="002878C9" w:rsidP="004665FA">
      <w:r>
        <w:separator/>
      </w:r>
    </w:p>
  </w:endnote>
  <w:endnote w:type="continuationSeparator" w:id="0">
    <w:p w14:paraId="5C407AD8" w14:textId="77777777" w:rsidR="002878C9" w:rsidRDefault="002878C9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A191" w14:textId="77777777" w:rsidR="002878C9" w:rsidRDefault="002878C9" w:rsidP="004665FA">
      <w:r>
        <w:separator/>
      </w:r>
    </w:p>
  </w:footnote>
  <w:footnote w:type="continuationSeparator" w:id="0">
    <w:p w14:paraId="38261227" w14:textId="77777777" w:rsidR="002878C9" w:rsidRDefault="002878C9" w:rsidP="0046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73D"/>
    <w:multiLevelType w:val="hybridMultilevel"/>
    <w:tmpl w:val="BB2614B0"/>
    <w:lvl w:ilvl="0" w:tplc="F18E77C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7D7CA9"/>
    <w:multiLevelType w:val="hybridMultilevel"/>
    <w:tmpl w:val="2CA06ABE"/>
    <w:lvl w:ilvl="0" w:tplc="C86C5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04822">
    <w:abstractNumId w:val="1"/>
  </w:num>
  <w:num w:numId="2" w16cid:durableId="1193567583">
    <w:abstractNumId w:val="2"/>
  </w:num>
  <w:num w:numId="3" w16cid:durableId="119951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1734A"/>
    <w:rsid w:val="0003052A"/>
    <w:rsid w:val="00032760"/>
    <w:rsid w:val="00043006"/>
    <w:rsid w:val="00070779"/>
    <w:rsid w:val="0007784D"/>
    <w:rsid w:val="00080BCA"/>
    <w:rsid w:val="000911C2"/>
    <w:rsid w:val="000E2CE6"/>
    <w:rsid w:val="00123A10"/>
    <w:rsid w:val="0012476C"/>
    <w:rsid w:val="00132C76"/>
    <w:rsid w:val="00137E59"/>
    <w:rsid w:val="00161974"/>
    <w:rsid w:val="0016284F"/>
    <w:rsid w:val="00183CC4"/>
    <w:rsid w:val="00194DDB"/>
    <w:rsid w:val="001D4469"/>
    <w:rsid w:val="001D7699"/>
    <w:rsid w:val="00211BFC"/>
    <w:rsid w:val="00215175"/>
    <w:rsid w:val="0022589A"/>
    <w:rsid w:val="0023126D"/>
    <w:rsid w:val="00231C5C"/>
    <w:rsid w:val="00235D25"/>
    <w:rsid w:val="00244034"/>
    <w:rsid w:val="002878C9"/>
    <w:rsid w:val="002A3309"/>
    <w:rsid w:val="002F0D7D"/>
    <w:rsid w:val="002F45C8"/>
    <w:rsid w:val="002F552C"/>
    <w:rsid w:val="003067E1"/>
    <w:rsid w:val="00345483"/>
    <w:rsid w:val="003772B8"/>
    <w:rsid w:val="003C0A8B"/>
    <w:rsid w:val="003D19F2"/>
    <w:rsid w:val="00411D92"/>
    <w:rsid w:val="004350B3"/>
    <w:rsid w:val="004665FA"/>
    <w:rsid w:val="00471C27"/>
    <w:rsid w:val="00485E55"/>
    <w:rsid w:val="004A54F6"/>
    <w:rsid w:val="004A5B8A"/>
    <w:rsid w:val="004E1D70"/>
    <w:rsid w:val="00504E2C"/>
    <w:rsid w:val="00511423"/>
    <w:rsid w:val="0058705B"/>
    <w:rsid w:val="005938C1"/>
    <w:rsid w:val="005C01FC"/>
    <w:rsid w:val="005C6C8B"/>
    <w:rsid w:val="00603C2B"/>
    <w:rsid w:val="006172C3"/>
    <w:rsid w:val="006206D5"/>
    <w:rsid w:val="00627F1E"/>
    <w:rsid w:val="007361E2"/>
    <w:rsid w:val="00747953"/>
    <w:rsid w:val="007646E1"/>
    <w:rsid w:val="00772A4A"/>
    <w:rsid w:val="00792171"/>
    <w:rsid w:val="007D71BF"/>
    <w:rsid w:val="00802B16"/>
    <w:rsid w:val="00825393"/>
    <w:rsid w:val="00862774"/>
    <w:rsid w:val="008822C4"/>
    <w:rsid w:val="0088231B"/>
    <w:rsid w:val="008C0E78"/>
    <w:rsid w:val="00975459"/>
    <w:rsid w:val="009853D4"/>
    <w:rsid w:val="009860DA"/>
    <w:rsid w:val="0099077F"/>
    <w:rsid w:val="00996901"/>
    <w:rsid w:val="009C443E"/>
    <w:rsid w:val="009C4536"/>
    <w:rsid w:val="009E289E"/>
    <w:rsid w:val="00A129EC"/>
    <w:rsid w:val="00A20635"/>
    <w:rsid w:val="00A23DA2"/>
    <w:rsid w:val="00A3332F"/>
    <w:rsid w:val="00A372D2"/>
    <w:rsid w:val="00A651EB"/>
    <w:rsid w:val="00A75DF8"/>
    <w:rsid w:val="00AB0E1D"/>
    <w:rsid w:val="00AB1DD2"/>
    <w:rsid w:val="00AD1F62"/>
    <w:rsid w:val="00B05407"/>
    <w:rsid w:val="00B42DE5"/>
    <w:rsid w:val="00B50E50"/>
    <w:rsid w:val="00BC40D1"/>
    <w:rsid w:val="00BE678A"/>
    <w:rsid w:val="00C0419C"/>
    <w:rsid w:val="00C06265"/>
    <w:rsid w:val="00C12019"/>
    <w:rsid w:val="00C217AC"/>
    <w:rsid w:val="00C22E95"/>
    <w:rsid w:val="00CE6425"/>
    <w:rsid w:val="00D2259B"/>
    <w:rsid w:val="00D50F34"/>
    <w:rsid w:val="00D52D3A"/>
    <w:rsid w:val="00D778A5"/>
    <w:rsid w:val="00DA4A04"/>
    <w:rsid w:val="00DC3C22"/>
    <w:rsid w:val="00DE5993"/>
    <w:rsid w:val="00E06845"/>
    <w:rsid w:val="00E31111"/>
    <w:rsid w:val="00E34189"/>
    <w:rsid w:val="00E41F01"/>
    <w:rsid w:val="00E817F1"/>
    <w:rsid w:val="00EB430D"/>
    <w:rsid w:val="00EB538B"/>
    <w:rsid w:val="00EC2F39"/>
    <w:rsid w:val="00EF5FE2"/>
    <w:rsid w:val="00F37E44"/>
    <w:rsid w:val="00F733B6"/>
    <w:rsid w:val="00FC09D0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2DA2"/>
  <w15:docId w15:val="{F10C9587-0A76-4917-AB73-0C16EFCF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B430D"/>
    <w:pPr>
      <w:suppressAutoHyphens w:val="0"/>
      <w:spacing w:before="120" w:after="120"/>
      <w:outlineLvl w:val="0"/>
    </w:pPr>
    <w:rPr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60DA"/>
    <w:pPr>
      <w:widowControl w:val="0"/>
      <w:suppressAutoHyphens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eastAsia="cs-CZ" w:bidi="cs-CZ"/>
    </w:rPr>
  </w:style>
  <w:style w:type="character" w:customStyle="1" w:styleId="Zkladntext2Tun">
    <w:name w:val="Základní text (2) + Tučné"/>
    <w:rsid w:val="009860D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cs-CZ" w:eastAsia="cs-CZ" w:bidi="cs-CZ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EB430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Revize">
    <w:name w:val="Revision"/>
    <w:hidden/>
    <w:uiPriority w:val="99"/>
    <w:semiHidden/>
    <w:rsid w:val="0023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dState xmlns="http://schemas.microsoft.com/sharepoint/v3">0</PromotedState>
    <ClientSideApplicationId xmlns="http://schemas.microsoft.com/sharepoint/v3" xsi:nil="true"/>
    <lcf76f155ced4ddcb4097134ff3c332f xmlns="1b0a2e31-377b-4a4f-8b74-191dd8e2e1a2">
      <Terms xmlns="http://schemas.microsoft.com/office/infopath/2007/PartnerControls"/>
    </lcf76f155ced4ddcb4097134ff3c332f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TaxCatchAll xmlns="1c5afdd9-10a7-4471-939e-3b6fefddb120" xsi:nil="true"/>
    <Pozn_x00e1_mka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39BD6-F806-4FE1-A825-C7E0B7C7FC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9A471-7A4B-4B72-BBE2-4F376E3A8C48}">
  <ds:schemaRefs>
    <ds:schemaRef ds:uri="http://schemas.openxmlformats.org/package/2006/metadata/core-properties"/>
    <ds:schemaRef ds:uri="1b0a2e31-377b-4a4f-8b74-191dd8e2e1a2"/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  <ds:schemaRef ds:uri="http://www.w3.org/XML/1998/namespace"/>
    <ds:schemaRef ds:uri="1c5afdd9-10a7-4471-939e-3b6fefddb120"/>
    <ds:schemaRef ds:uri="http://schemas.microsoft.com/sharepoint/v3/field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1595328-1136-4265-BF35-45421546A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81BC1-3F08-4CD3-A273-969782020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928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Marie Kronowetterová</cp:lastModifiedBy>
  <cp:revision>56</cp:revision>
  <dcterms:created xsi:type="dcterms:W3CDTF">2018-02-20T10:00:00Z</dcterms:created>
  <dcterms:modified xsi:type="dcterms:W3CDTF">2025-07-24T08:48:00Z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