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40" w:rsidRPr="007917B8" w:rsidRDefault="00987B58" w:rsidP="007917B8">
      <w:pPr>
        <w:pStyle w:val="Nadpis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rPr>
          <w:rFonts w:ascii="Bookman Old Style" w:hAnsi="Bookman Old Style"/>
          <w:color w:val="FFFFFF"/>
        </w:rPr>
      </w:pPr>
      <w:bookmarkStart w:id="0" w:name="_GoBack"/>
      <w:bookmarkEnd w:id="0"/>
      <w:r w:rsidRPr="007917B8">
        <w:rPr>
          <w:rFonts w:ascii="Bookman Old Style" w:hAnsi="Bookman Old Style"/>
          <w:color w:val="FFFFFF"/>
        </w:rPr>
        <w:t>Podrobná specifikace předmětu plnění</w:t>
      </w:r>
    </w:p>
    <w:p w:rsidR="00C01C68" w:rsidRPr="00CC5F3D" w:rsidRDefault="00C01C68" w:rsidP="00C95FC7">
      <w:pPr>
        <w:tabs>
          <w:tab w:val="left" w:pos="567"/>
          <w:tab w:val="left" w:pos="1134"/>
          <w:tab w:val="left" w:pos="1701"/>
        </w:tabs>
        <w:autoSpaceDE w:val="0"/>
        <w:autoSpaceDN w:val="0"/>
        <w:adjustRightInd w:val="0"/>
        <w:spacing w:after="0" w:line="240" w:lineRule="auto"/>
        <w:jc w:val="both"/>
        <w:rPr>
          <w:rFonts w:ascii="Arial" w:eastAsia="TimesCE-Roman" w:hAnsi="Arial" w:cs="Arial"/>
          <w:b/>
        </w:rPr>
      </w:pPr>
    </w:p>
    <w:p w:rsidR="00F83DB4" w:rsidRDefault="00F83DB4" w:rsidP="00F83DB4">
      <w:pPr>
        <w:spacing w:line="240" w:lineRule="auto"/>
        <w:ind w:left="3969" w:hanging="3969"/>
        <w:rPr>
          <w:rFonts w:ascii="Bookman Old Style" w:hAnsi="Bookman Old Style" w:cs="Bookman Old Style"/>
          <w:b/>
          <w:bCs/>
          <w:color w:val="000000" w:themeColor="text1"/>
          <w:sz w:val="20"/>
          <w:lang w:eastAsia="ar-SA"/>
        </w:rPr>
      </w:pPr>
    </w:p>
    <w:p w:rsidR="00140E12" w:rsidRPr="007951D3" w:rsidRDefault="00140E12" w:rsidP="00F83DB4">
      <w:pPr>
        <w:spacing w:line="240" w:lineRule="auto"/>
        <w:ind w:left="3969" w:hanging="3969"/>
        <w:rPr>
          <w:color w:val="000000" w:themeColor="text1"/>
        </w:rPr>
      </w:pPr>
      <w:r w:rsidRPr="007951D3">
        <w:rPr>
          <w:rFonts w:ascii="Bookman Old Style" w:hAnsi="Bookman Old Style" w:cs="Bookman Old Style"/>
          <w:b/>
          <w:bCs/>
          <w:color w:val="000000" w:themeColor="text1"/>
          <w:sz w:val="20"/>
          <w:lang w:eastAsia="ar-SA"/>
        </w:rPr>
        <w:t>Název veřejné zakázky:</w:t>
      </w:r>
      <w:r w:rsidRPr="007951D3">
        <w:rPr>
          <w:rFonts w:ascii="Bookman Old Style" w:hAnsi="Bookman Old Style" w:cs="Bookman Old Style"/>
          <w:color w:val="000000" w:themeColor="text1"/>
          <w:sz w:val="20"/>
          <w:lang w:eastAsia="ar-SA"/>
        </w:rPr>
        <w:t xml:space="preserve"> </w:t>
      </w:r>
      <w:r w:rsidRPr="007951D3">
        <w:rPr>
          <w:rFonts w:ascii="Bookman Old Style" w:eastAsia="Times New Roman" w:hAnsi="Bookman Old Style" w:cs="Bookman Old Style"/>
          <w:b/>
          <w:bCs/>
          <w:color w:val="000000" w:themeColor="text1"/>
          <w:sz w:val="20"/>
          <w:szCs w:val="20"/>
          <w:lang w:eastAsia="cs-CZ"/>
        </w:rPr>
        <w:t>Koncepce veřejného osvětlení ve městě Beroun</w:t>
      </w:r>
    </w:p>
    <w:p w:rsidR="007C2BE0" w:rsidRDefault="007C2BE0" w:rsidP="00C95FC7">
      <w:pPr>
        <w:tabs>
          <w:tab w:val="left" w:pos="567"/>
          <w:tab w:val="left" w:pos="1134"/>
          <w:tab w:val="left" w:pos="1701"/>
        </w:tabs>
        <w:autoSpaceDE w:val="0"/>
        <w:autoSpaceDN w:val="0"/>
        <w:adjustRightInd w:val="0"/>
        <w:spacing w:after="0" w:line="240" w:lineRule="auto"/>
        <w:jc w:val="both"/>
        <w:rPr>
          <w:rFonts w:ascii="Bookman Old Style" w:eastAsia="TimesCE-Roman" w:hAnsi="Bookman Old Style" w:cs="Arial"/>
          <w:b/>
          <w:color w:val="000000" w:themeColor="text1"/>
          <w:sz w:val="20"/>
          <w:szCs w:val="20"/>
        </w:rPr>
      </w:pPr>
    </w:p>
    <w:p w:rsidR="00F83DB4" w:rsidRPr="007951D3" w:rsidRDefault="00F83DB4" w:rsidP="00C95FC7">
      <w:pPr>
        <w:tabs>
          <w:tab w:val="left" w:pos="567"/>
          <w:tab w:val="left" w:pos="1134"/>
          <w:tab w:val="left" w:pos="1701"/>
        </w:tabs>
        <w:autoSpaceDE w:val="0"/>
        <w:autoSpaceDN w:val="0"/>
        <w:adjustRightInd w:val="0"/>
        <w:spacing w:after="0" w:line="240" w:lineRule="auto"/>
        <w:jc w:val="both"/>
        <w:rPr>
          <w:rFonts w:ascii="Bookman Old Style" w:eastAsia="TimesCE-Roman" w:hAnsi="Bookman Old Style" w:cs="Arial"/>
          <w:b/>
          <w:color w:val="000000" w:themeColor="text1"/>
          <w:sz w:val="20"/>
          <w:szCs w:val="20"/>
        </w:rPr>
      </w:pPr>
    </w:p>
    <w:p w:rsidR="008E10EC" w:rsidRPr="007951D3" w:rsidRDefault="008332BD" w:rsidP="003F48D3">
      <w:pPr>
        <w:pStyle w:val="Odstavecseseznamem"/>
        <w:numPr>
          <w:ilvl w:val="0"/>
          <w:numId w:val="1"/>
        </w:numPr>
        <w:spacing w:after="0" w:line="240" w:lineRule="auto"/>
        <w:ind w:left="426" w:hanging="426"/>
        <w:jc w:val="both"/>
        <w:rPr>
          <w:rFonts w:ascii="Bookman Old Style" w:eastAsia="Arial" w:hAnsi="Bookman Old Style" w:cs="Arial"/>
          <w:b/>
          <w:bCs/>
          <w:color w:val="000000" w:themeColor="text1"/>
          <w:sz w:val="20"/>
          <w:szCs w:val="20"/>
        </w:rPr>
      </w:pPr>
      <w:r w:rsidRPr="007951D3">
        <w:rPr>
          <w:rFonts w:ascii="Bookman Old Style" w:eastAsia="Arial" w:hAnsi="Bookman Old Style" w:cs="Arial"/>
          <w:b/>
          <w:bCs/>
          <w:color w:val="000000" w:themeColor="text1"/>
          <w:sz w:val="20"/>
          <w:szCs w:val="20"/>
        </w:rPr>
        <w:t>Z</w:t>
      </w:r>
      <w:r w:rsidR="008E10EC" w:rsidRPr="007951D3">
        <w:rPr>
          <w:rFonts w:ascii="Bookman Old Style" w:eastAsia="Arial" w:hAnsi="Bookman Old Style" w:cs="Arial"/>
          <w:b/>
          <w:bCs/>
          <w:color w:val="000000" w:themeColor="text1"/>
          <w:sz w:val="20"/>
          <w:szCs w:val="20"/>
        </w:rPr>
        <w:t xml:space="preserve">ÁKLADNÍ INFORMACE </w:t>
      </w:r>
    </w:p>
    <w:p w:rsidR="008E10EC" w:rsidRPr="007951D3" w:rsidRDefault="008E10EC" w:rsidP="00987B58">
      <w:pPr>
        <w:pStyle w:val="Odstavecseseznamem"/>
        <w:spacing w:before="120" w:after="0" w:line="240" w:lineRule="auto"/>
        <w:ind w:left="0"/>
        <w:contextualSpacing w:val="0"/>
        <w:jc w:val="both"/>
        <w:rPr>
          <w:rFonts w:ascii="Bookman Old Style" w:eastAsia="Arial" w:hAnsi="Bookman Old Style" w:cs="Arial"/>
          <w:color w:val="000000" w:themeColor="text1"/>
          <w:sz w:val="20"/>
          <w:szCs w:val="20"/>
        </w:rPr>
      </w:pPr>
      <w:r w:rsidRPr="007951D3">
        <w:rPr>
          <w:rFonts w:ascii="Bookman Old Style" w:eastAsia="Arial" w:hAnsi="Bookman Old Style" w:cs="Arial"/>
          <w:color w:val="000000" w:themeColor="text1"/>
          <w:sz w:val="20"/>
          <w:szCs w:val="20"/>
        </w:rPr>
        <w:t xml:space="preserve">Základní informace o veřejném osvětlení </w:t>
      </w:r>
      <w:r w:rsidR="00BF72E2" w:rsidRPr="007951D3">
        <w:rPr>
          <w:rFonts w:ascii="Bookman Old Style" w:eastAsia="Arial" w:hAnsi="Bookman Old Style" w:cs="Arial"/>
          <w:color w:val="000000" w:themeColor="text1"/>
          <w:sz w:val="20"/>
          <w:szCs w:val="20"/>
        </w:rPr>
        <w:t xml:space="preserve">(VO) </w:t>
      </w:r>
      <w:r w:rsidRPr="007951D3">
        <w:rPr>
          <w:rFonts w:ascii="Bookman Old Style" w:eastAsia="Arial" w:hAnsi="Bookman Old Style" w:cs="Arial"/>
          <w:color w:val="000000" w:themeColor="text1"/>
          <w:sz w:val="20"/>
          <w:szCs w:val="20"/>
        </w:rPr>
        <w:t>ve městě B</w:t>
      </w:r>
      <w:r w:rsidR="007C2BE0" w:rsidRPr="007951D3">
        <w:rPr>
          <w:rFonts w:ascii="Bookman Old Style" w:eastAsia="Arial" w:hAnsi="Bookman Old Style" w:cs="Arial"/>
          <w:color w:val="000000" w:themeColor="text1"/>
          <w:sz w:val="20"/>
          <w:szCs w:val="20"/>
        </w:rPr>
        <w:t>eroun</w:t>
      </w:r>
      <w:r w:rsidRPr="007951D3">
        <w:rPr>
          <w:rFonts w:ascii="Bookman Old Style" w:eastAsia="Arial" w:hAnsi="Bookman Old Style" w:cs="Arial"/>
          <w:color w:val="000000" w:themeColor="text1"/>
          <w:sz w:val="20"/>
          <w:szCs w:val="20"/>
        </w:rPr>
        <w:t xml:space="preserve"> slouží k představě o rozsahu souboru veřejného osvětlení</w:t>
      </w:r>
      <w:r w:rsidR="00336932" w:rsidRPr="007951D3">
        <w:rPr>
          <w:rFonts w:ascii="Bookman Old Style" w:eastAsia="Arial" w:hAnsi="Bookman Old Style" w:cs="Arial"/>
          <w:color w:val="000000" w:themeColor="text1"/>
          <w:sz w:val="20"/>
          <w:szCs w:val="20"/>
        </w:rPr>
        <w:t>, který je vstupním podkladovým materiálem pro zpracování Koncepce</w:t>
      </w:r>
      <w:r w:rsidR="00BF72E2" w:rsidRPr="007951D3">
        <w:rPr>
          <w:rFonts w:ascii="Bookman Old Style" w:eastAsia="Arial" w:hAnsi="Bookman Old Style" w:cs="Arial"/>
          <w:color w:val="000000" w:themeColor="text1"/>
          <w:sz w:val="20"/>
          <w:szCs w:val="20"/>
        </w:rPr>
        <w:t xml:space="preserve"> </w:t>
      </w:r>
      <w:r w:rsidR="00336932" w:rsidRPr="007951D3">
        <w:rPr>
          <w:rFonts w:ascii="Bookman Old Style" w:eastAsia="Arial" w:hAnsi="Bookman Old Style" w:cs="Arial"/>
          <w:color w:val="000000" w:themeColor="text1"/>
          <w:sz w:val="20"/>
          <w:szCs w:val="20"/>
        </w:rPr>
        <w:t>VO</w:t>
      </w:r>
      <w:r w:rsidR="0094241D" w:rsidRPr="007951D3">
        <w:rPr>
          <w:rFonts w:ascii="Bookman Old Style" w:eastAsia="Arial" w:hAnsi="Bookman Old Style" w:cs="Arial"/>
          <w:color w:val="000000" w:themeColor="text1"/>
          <w:sz w:val="20"/>
          <w:szCs w:val="20"/>
        </w:rPr>
        <w:t xml:space="preserve"> ve městě Beroun</w:t>
      </w:r>
      <w:r w:rsidRPr="007951D3">
        <w:rPr>
          <w:rFonts w:ascii="Bookman Old Style" w:eastAsia="Arial" w:hAnsi="Bookman Old Style" w:cs="Arial"/>
          <w:color w:val="000000" w:themeColor="text1"/>
          <w:sz w:val="20"/>
          <w:szCs w:val="20"/>
        </w:rPr>
        <w:t>:</w:t>
      </w:r>
    </w:p>
    <w:p w:rsidR="008E10EC" w:rsidRPr="007951D3" w:rsidRDefault="008E10EC" w:rsidP="00A31E84">
      <w:pPr>
        <w:pStyle w:val="Odstavecseseznamem"/>
        <w:spacing w:after="0" w:line="240" w:lineRule="auto"/>
        <w:ind w:left="0"/>
        <w:jc w:val="both"/>
        <w:rPr>
          <w:rFonts w:ascii="Bookman Old Style" w:eastAsia="Arial" w:hAnsi="Bookman Old Style" w:cs="Arial"/>
          <w:color w:val="000000" w:themeColor="text1"/>
          <w:sz w:val="20"/>
          <w:szCs w:val="20"/>
        </w:rPr>
      </w:pPr>
    </w:p>
    <w:p w:rsidR="00336932" w:rsidRPr="008A74B6" w:rsidRDefault="00336932" w:rsidP="00A31E84">
      <w:pPr>
        <w:pStyle w:val="Odstavecseseznamem"/>
        <w:spacing w:after="0" w:line="240" w:lineRule="auto"/>
        <w:ind w:left="0"/>
        <w:jc w:val="both"/>
        <w:rPr>
          <w:rFonts w:ascii="Bookman Old Style" w:eastAsia="Arial" w:hAnsi="Bookman Old Style" w:cs="Arial"/>
          <w:b/>
          <w:sz w:val="20"/>
          <w:szCs w:val="20"/>
        </w:rPr>
      </w:pPr>
      <w:r w:rsidRPr="008A74B6">
        <w:rPr>
          <w:rFonts w:ascii="Bookman Old Style" w:eastAsia="Arial" w:hAnsi="Bookman Old Style" w:cs="Arial"/>
          <w:b/>
          <w:sz w:val="20"/>
          <w:szCs w:val="20"/>
        </w:rPr>
        <w:t>Veřejné osvětlení:</w:t>
      </w:r>
    </w:p>
    <w:p w:rsidR="007D045D"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c</w:t>
      </w:r>
      <w:r w:rsidR="007D045D" w:rsidRPr="008A74B6">
        <w:rPr>
          <w:rFonts w:ascii="Bookman Old Style" w:hAnsi="Bookman Old Style" w:cs="Arial"/>
          <w:sz w:val="20"/>
          <w:szCs w:val="20"/>
        </w:rPr>
        <w:t xml:space="preserve">elkový počet světelných míst – </w:t>
      </w:r>
      <w:r w:rsidRPr="008A74B6">
        <w:rPr>
          <w:rFonts w:ascii="Bookman Old Style" w:hAnsi="Bookman Old Style" w:cs="Arial"/>
          <w:sz w:val="20"/>
          <w:szCs w:val="20"/>
        </w:rPr>
        <w:t>2 900</w:t>
      </w:r>
      <w:r w:rsidR="007D045D" w:rsidRPr="008A74B6">
        <w:rPr>
          <w:rFonts w:ascii="Bookman Old Style" w:hAnsi="Bookman Old Style" w:cs="Arial"/>
          <w:sz w:val="20"/>
          <w:szCs w:val="20"/>
        </w:rPr>
        <w:t xml:space="preserve"> ks</w:t>
      </w:r>
    </w:p>
    <w:p w:rsidR="007D045D" w:rsidRPr="008A74B6" w:rsidRDefault="007D045D" w:rsidP="007D045D">
      <w:pPr>
        <w:pStyle w:val="Seznamsodrkami"/>
        <w:numPr>
          <w:ilvl w:val="0"/>
          <w:numId w:val="0"/>
        </w:numPr>
        <w:rPr>
          <w:rFonts w:ascii="Bookman Old Style" w:hAnsi="Bookman Old Style" w:cs="Arial"/>
          <w:sz w:val="20"/>
          <w:szCs w:val="20"/>
          <w:u w:val="single"/>
        </w:rPr>
      </w:pPr>
      <w:r w:rsidRPr="008A74B6">
        <w:rPr>
          <w:rFonts w:ascii="Bookman Old Style" w:hAnsi="Bookman Old Style" w:cs="Arial"/>
          <w:sz w:val="20"/>
          <w:szCs w:val="20"/>
          <w:u w:val="single"/>
        </w:rPr>
        <w:t>Základní informace o stožárech:</w:t>
      </w:r>
    </w:p>
    <w:p w:rsidR="008A74B6" w:rsidRPr="008A74B6" w:rsidRDefault="007D045D"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 xml:space="preserve">počet a průměrné stáří stožárů ocelových – </w:t>
      </w:r>
      <w:r w:rsidR="008A74B6" w:rsidRPr="008A74B6">
        <w:rPr>
          <w:rFonts w:ascii="Bookman Old Style" w:hAnsi="Bookman Old Style" w:cs="Arial"/>
          <w:sz w:val="20"/>
          <w:szCs w:val="20"/>
        </w:rPr>
        <w:t>cca 950 ks (průměrné stáří: cca 600 ks 30 let, cca 350 ks 10 let)</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počet a průměrné stáří stožárů betonových – cca 1720 ks (průměrné stáří: 35 let)</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počet světelných míst na stožárech energetických závodů – cca 75 ks</w:t>
      </w:r>
    </w:p>
    <w:p w:rsidR="007D045D"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počet nástěnných výložníků – 15 ks</w:t>
      </w:r>
    </w:p>
    <w:p w:rsidR="007D045D" w:rsidRPr="008A74B6" w:rsidRDefault="007D045D" w:rsidP="007D045D">
      <w:pPr>
        <w:pStyle w:val="Seznamsodrkami"/>
        <w:numPr>
          <w:ilvl w:val="0"/>
          <w:numId w:val="0"/>
        </w:numPr>
        <w:rPr>
          <w:rFonts w:ascii="Bookman Old Style" w:hAnsi="Bookman Old Style" w:cs="Arial"/>
          <w:sz w:val="20"/>
          <w:szCs w:val="20"/>
          <w:u w:val="single"/>
        </w:rPr>
      </w:pPr>
      <w:r w:rsidRPr="008A74B6">
        <w:rPr>
          <w:rFonts w:ascii="Bookman Old Style" w:hAnsi="Bookman Old Style" w:cs="Arial"/>
          <w:sz w:val="20"/>
          <w:szCs w:val="20"/>
          <w:u w:val="single"/>
        </w:rPr>
        <w:t>Základní informace o svítidlech VO:</w:t>
      </w:r>
    </w:p>
    <w:p w:rsidR="007D045D"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počet a průměrné stáří svítidel – cca 1880 ks svítidel Elektrosvit typ 444 23.xx (průměrné stáří: 25 let), cca 700 ks sodíkových svítidel Schréder (průměrné stáří: 5 let), cca 160 ks LED svítidel Schréder (průměrné stáří: 1 rok</w:t>
      </w:r>
      <w:r w:rsidR="007D045D" w:rsidRPr="008A74B6">
        <w:rPr>
          <w:rFonts w:ascii="Bookman Old Style" w:hAnsi="Bookman Old Style" w:cs="Arial"/>
          <w:sz w:val="20"/>
          <w:szCs w:val="20"/>
        </w:rPr>
        <w:t>)</w:t>
      </w:r>
    </w:p>
    <w:p w:rsidR="007D045D" w:rsidRPr="008A74B6" w:rsidRDefault="007D045D" w:rsidP="007D045D">
      <w:pPr>
        <w:pStyle w:val="Seznamsodrkami"/>
        <w:numPr>
          <w:ilvl w:val="0"/>
          <w:numId w:val="0"/>
        </w:numPr>
        <w:ind w:left="66"/>
        <w:rPr>
          <w:rFonts w:ascii="Bookman Old Style" w:hAnsi="Bookman Old Style" w:cs="Arial"/>
          <w:sz w:val="20"/>
          <w:szCs w:val="20"/>
          <w:u w:val="single"/>
        </w:rPr>
      </w:pPr>
      <w:r w:rsidRPr="008A74B6">
        <w:rPr>
          <w:rFonts w:ascii="Bookman Old Style" w:hAnsi="Bookman Old Style" w:cs="Arial"/>
          <w:sz w:val="20"/>
          <w:szCs w:val="20"/>
          <w:u w:val="single"/>
        </w:rPr>
        <w:t>Základní informace o kabelové síti VO:</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celková délka kabelové sítě VO – cca 215 km</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délka a průměrné stáří kabelové sítě s kabely CYKY – cca 88 km (průměrné stáří: 15 let)</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délka a průměrné stáří kabelové sítě s kabely AYKY – cca 107 km (průměrné stáří: 30 let)</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délka a průměrné stáří kabelové sítě s vrchním vedením – cca 20 km (průměrné stáří: 35 let)</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počet a průměrné stáří rozvaděčů VO – 57 ks (průměrné stáří: 29 ks do 25 let, 28 ks do 10 let)</w:t>
      </w:r>
    </w:p>
    <w:p w:rsidR="007D045D"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způsob ovládání veřejného osvětlení – soumraková čidla</w:t>
      </w:r>
    </w:p>
    <w:p w:rsidR="007D045D" w:rsidRPr="008A74B6" w:rsidRDefault="007D045D" w:rsidP="007D045D">
      <w:pPr>
        <w:pStyle w:val="Seznamsodrkami"/>
        <w:numPr>
          <w:ilvl w:val="0"/>
          <w:numId w:val="0"/>
        </w:numPr>
        <w:ind w:left="66"/>
        <w:rPr>
          <w:rFonts w:ascii="Bookman Old Style" w:hAnsi="Bookman Old Style" w:cs="Arial"/>
          <w:sz w:val="20"/>
          <w:szCs w:val="20"/>
          <w:u w:val="single"/>
        </w:rPr>
      </w:pPr>
      <w:r w:rsidRPr="008A74B6">
        <w:rPr>
          <w:rFonts w:ascii="Bookman Old Style" w:hAnsi="Bookman Old Style" w:cs="Arial"/>
          <w:sz w:val="20"/>
          <w:szCs w:val="20"/>
          <w:u w:val="single"/>
        </w:rPr>
        <w:t>Energetické údaje:</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celkový instalovaný příkon VO - 320 kW</w:t>
      </w:r>
    </w:p>
    <w:p w:rsidR="008A74B6"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celková průměrná roční spotřeba el. energie za poslední 3 roky – 1,45 GWh</w:t>
      </w:r>
    </w:p>
    <w:p w:rsidR="007D045D" w:rsidRPr="008A74B6" w:rsidRDefault="008A74B6" w:rsidP="003F48D3">
      <w:pPr>
        <w:pStyle w:val="Seznamsodrkami"/>
        <w:numPr>
          <w:ilvl w:val="0"/>
          <w:numId w:val="5"/>
        </w:numPr>
        <w:ind w:left="426"/>
        <w:rPr>
          <w:rFonts w:ascii="Bookman Old Style" w:hAnsi="Bookman Old Style" w:cs="Arial"/>
          <w:sz w:val="20"/>
          <w:szCs w:val="20"/>
        </w:rPr>
      </w:pPr>
      <w:r w:rsidRPr="008A74B6">
        <w:rPr>
          <w:rFonts w:ascii="Bookman Old Style" w:hAnsi="Bookman Old Style" w:cs="Arial"/>
          <w:sz w:val="20"/>
          <w:szCs w:val="20"/>
        </w:rPr>
        <w:t>průměrný instalovaný příkon na 1 SM – 110 W</w:t>
      </w:r>
    </w:p>
    <w:p w:rsidR="00316863" w:rsidRPr="008A74B6" w:rsidRDefault="00316863" w:rsidP="007D045D">
      <w:pPr>
        <w:pStyle w:val="Seznamsodrkami"/>
        <w:numPr>
          <w:ilvl w:val="0"/>
          <w:numId w:val="0"/>
        </w:numPr>
        <w:ind w:left="360" w:hanging="360"/>
        <w:jc w:val="both"/>
        <w:rPr>
          <w:rFonts w:ascii="Bookman Old Style" w:hAnsi="Bookman Old Style" w:cs="Arial"/>
          <w:sz w:val="20"/>
          <w:szCs w:val="20"/>
        </w:rPr>
      </w:pPr>
    </w:p>
    <w:p w:rsidR="00336932" w:rsidRPr="008A74B6" w:rsidRDefault="00336932" w:rsidP="00A31E84">
      <w:pPr>
        <w:pStyle w:val="Odstavecseseznamem"/>
        <w:spacing w:after="0" w:line="240" w:lineRule="auto"/>
        <w:ind w:left="0"/>
        <w:jc w:val="both"/>
        <w:rPr>
          <w:rFonts w:ascii="Bookman Old Style" w:eastAsia="Arial" w:hAnsi="Bookman Old Style" w:cs="Arial"/>
          <w:b/>
          <w:sz w:val="20"/>
          <w:szCs w:val="20"/>
        </w:rPr>
      </w:pPr>
      <w:r w:rsidRPr="008A74B6">
        <w:rPr>
          <w:rFonts w:ascii="Bookman Old Style" w:eastAsia="Arial" w:hAnsi="Bookman Old Style" w:cs="Arial"/>
          <w:b/>
          <w:sz w:val="20"/>
          <w:szCs w:val="20"/>
        </w:rPr>
        <w:t>Architekturní osvětlení:</w:t>
      </w:r>
    </w:p>
    <w:p w:rsidR="008A74B6"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 xml:space="preserve">celkový počet osvětlených objektů – 8 objektů </w:t>
      </w:r>
    </w:p>
    <w:p w:rsidR="007D045D"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celkový počet světelných míst – 22 ks</w:t>
      </w:r>
    </w:p>
    <w:p w:rsidR="007D045D" w:rsidRPr="008A74B6" w:rsidRDefault="007D045D" w:rsidP="007D045D">
      <w:pPr>
        <w:spacing w:after="0"/>
        <w:ind w:left="66"/>
        <w:jc w:val="both"/>
        <w:rPr>
          <w:rFonts w:ascii="Bookman Old Style" w:eastAsia="Arial" w:hAnsi="Bookman Old Style" w:cs="Arial"/>
          <w:sz w:val="20"/>
          <w:szCs w:val="20"/>
          <w:u w:val="single"/>
        </w:rPr>
      </w:pPr>
      <w:r w:rsidRPr="008A74B6">
        <w:rPr>
          <w:rFonts w:ascii="Bookman Old Style" w:eastAsia="Arial" w:hAnsi="Bookman Old Style" w:cs="Arial"/>
          <w:sz w:val="20"/>
          <w:szCs w:val="20"/>
          <w:u w:val="single"/>
        </w:rPr>
        <w:t>Základní informace o svítidlech:</w:t>
      </w:r>
    </w:p>
    <w:p w:rsidR="007D045D"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počet a průměrné stáří svítidel – 22 ks halogenových svítidel (průměrné stáří 14 let</w:t>
      </w:r>
      <w:r w:rsidR="007D045D" w:rsidRPr="008A74B6">
        <w:rPr>
          <w:rFonts w:ascii="Bookman Old Style" w:eastAsia="Arial" w:hAnsi="Bookman Old Style" w:cs="Arial"/>
          <w:sz w:val="20"/>
          <w:szCs w:val="20"/>
        </w:rPr>
        <w:t>)</w:t>
      </w:r>
    </w:p>
    <w:p w:rsidR="007D045D" w:rsidRPr="008A74B6" w:rsidRDefault="007D045D" w:rsidP="007D045D">
      <w:pPr>
        <w:spacing w:after="0"/>
        <w:ind w:left="66"/>
        <w:jc w:val="both"/>
        <w:rPr>
          <w:rFonts w:ascii="Bookman Old Style" w:eastAsia="Arial" w:hAnsi="Bookman Old Style" w:cs="Arial"/>
          <w:sz w:val="20"/>
          <w:szCs w:val="20"/>
          <w:u w:val="single"/>
        </w:rPr>
      </w:pPr>
      <w:r w:rsidRPr="008A74B6">
        <w:rPr>
          <w:rFonts w:ascii="Bookman Old Style" w:eastAsia="Arial" w:hAnsi="Bookman Old Style" w:cs="Arial"/>
          <w:sz w:val="20"/>
          <w:szCs w:val="20"/>
          <w:u w:val="single"/>
        </w:rPr>
        <w:t>Základní informace o kabelové síti AO:</w:t>
      </w:r>
    </w:p>
    <w:p w:rsidR="008A74B6"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celková délka kabelové sítě AO – 0,5 km</w:t>
      </w:r>
    </w:p>
    <w:p w:rsidR="008A74B6"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délka a průměrné stáří kabelové sítě s kabely CYKY – 400 m (průměrné stáří: 14 let)</w:t>
      </w:r>
    </w:p>
    <w:p w:rsidR="008A74B6"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délka a průměrné stáří kabelové sítě s kabely AYKY – 100 m (průměrné stáří: 14 let)</w:t>
      </w:r>
    </w:p>
    <w:p w:rsidR="007D045D"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způsob ovládání AO – soumraková čidla</w:t>
      </w:r>
    </w:p>
    <w:p w:rsidR="007D045D" w:rsidRPr="008A74B6" w:rsidRDefault="007D045D" w:rsidP="007D045D">
      <w:pPr>
        <w:spacing w:after="0"/>
        <w:ind w:left="66"/>
        <w:jc w:val="both"/>
        <w:rPr>
          <w:rFonts w:ascii="Bookman Old Style" w:eastAsia="Arial" w:hAnsi="Bookman Old Style" w:cs="Arial"/>
          <w:sz w:val="20"/>
          <w:szCs w:val="20"/>
          <w:u w:val="single"/>
        </w:rPr>
      </w:pPr>
      <w:r w:rsidRPr="008A74B6">
        <w:rPr>
          <w:rFonts w:ascii="Bookman Old Style" w:eastAsia="Arial" w:hAnsi="Bookman Old Style" w:cs="Arial"/>
          <w:sz w:val="20"/>
          <w:szCs w:val="20"/>
          <w:u w:val="single"/>
        </w:rPr>
        <w:t>Energetické údaje:</w:t>
      </w:r>
    </w:p>
    <w:p w:rsidR="007D045D" w:rsidRPr="008A74B6" w:rsidRDefault="008A74B6" w:rsidP="003F48D3">
      <w:pPr>
        <w:pStyle w:val="Odstavecseseznamem"/>
        <w:numPr>
          <w:ilvl w:val="0"/>
          <w:numId w:val="5"/>
        </w:numPr>
        <w:spacing w:after="0"/>
        <w:ind w:left="426"/>
        <w:jc w:val="both"/>
        <w:rPr>
          <w:rFonts w:ascii="Bookman Old Style" w:eastAsia="Arial" w:hAnsi="Bookman Old Style" w:cs="Arial"/>
          <w:sz w:val="20"/>
          <w:szCs w:val="20"/>
        </w:rPr>
      </w:pPr>
      <w:r w:rsidRPr="008A74B6">
        <w:rPr>
          <w:rFonts w:ascii="Bookman Old Style" w:eastAsia="Arial" w:hAnsi="Bookman Old Style" w:cs="Arial"/>
          <w:sz w:val="20"/>
          <w:szCs w:val="20"/>
        </w:rPr>
        <w:t>celkový instalovaný příkon AO – 1,2 kW</w:t>
      </w:r>
    </w:p>
    <w:p w:rsidR="007D045D" w:rsidRPr="008A74B6" w:rsidRDefault="007D045D" w:rsidP="00A31E84">
      <w:pPr>
        <w:pStyle w:val="Odstavecseseznamem"/>
        <w:spacing w:after="0" w:line="240" w:lineRule="auto"/>
        <w:ind w:left="0"/>
        <w:jc w:val="both"/>
        <w:rPr>
          <w:rFonts w:ascii="Bookman Old Style" w:eastAsia="Arial" w:hAnsi="Bookman Old Style" w:cs="Arial"/>
          <w:b/>
          <w:sz w:val="20"/>
          <w:szCs w:val="20"/>
        </w:rPr>
      </w:pPr>
    </w:p>
    <w:p w:rsidR="00F83DB4" w:rsidRDefault="00F83DB4">
      <w:pPr>
        <w:rPr>
          <w:rFonts w:ascii="Bookman Old Style" w:eastAsia="Arial" w:hAnsi="Bookman Old Style" w:cs="Arial"/>
          <w:b/>
          <w:sz w:val="20"/>
          <w:szCs w:val="20"/>
        </w:rPr>
      </w:pPr>
      <w:r>
        <w:rPr>
          <w:rFonts w:ascii="Bookman Old Style" w:eastAsia="Arial" w:hAnsi="Bookman Old Style" w:cs="Arial"/>
          <w:b/>
          <w:sz w:val="20"/>
          <w:szCs w:val="20"/>
        </w:rPr>
        <w:br w:type="page"/>
      </w:r>
    </w:p>
    <w:p w:rsidR="008E10EC" w:rsidRPr="008A74B6" w:rsidRDefault="008E10EC" w:rsidP="00A31E84">
      <w:pPr>
        <w:pStyle w:val="Odstavecseseznamem"/>
        <w:spacing w:after="0" w:line="240" w:lineRule="auto"/>
        <w:ind w:left="0"/>
        <w:jc w:val="both"/>
        <w:rPr>
          <w:rFonts w:ascii="Bookman Old Style" w:eastAsia="Arial" w:hAnsi="Bookman Old Style" w:cs="Arial"/>
          <w:b/>
          <w:sz w:val="20"/>
          <w:szCs w:val="20"/>
        </w:rPr>
      </w:pPr>
      <w:r w:rsidRPr="008A74B6">
        <w:rPr>
          <w:rFonts w:ascii="Bookman Old Style" w:eastAsia="Arial" w:hAnsi="Bookman Old Style" w:cs="Arial"/>
          <w:b/>
          <w:sz w:val="20"/>
          <w:szCs w:val="20"/>
        </w:rPr>
        <w:lastRenderedPageBreak/>
        <w:t>Pasport VO:</w:t>
      </w:r>
    </w:p>
    <w:p w:rsidR="008A74B6"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Informační systém – GS pasport</w:t>
      </w:r>
    </w:p>
    <w:p w:rsidR="008A74B6"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Stávající rozsah pasportu – pouze seznam světelných bodů</w:t>
      </w:r>
    </w:p>
    <w:p w:rsidR="008A74B6"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Způsob aktualizace – databáze vnikla importem vstupních informací, od té doby aktualizace nebyla provedena</w:t>
      </w:r>
    </w:p>
    <w:p w:rsidR="007D045D"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Možnosti exportu dat – dle požadavku zpracuje správce systému výstupy do souboru *.xls</w:t>
      </w:r>
    </w:p>
    <w:p w:rsidR="0008140F" w:rsidRPr="008A74B6" w:rsidRDefault="0008140F" w:rsidP="007D045D">
      <w:pPr>
        <w:pStyle w:val="Seznamsodrkami"/>
        <w:numPr>
          <w:ilvl w:val="0"/>
          <w:numId w:val="0"/>
        </w:numPr>
        <w:jc w:val="both"/>
        <w:rPr>
          <w:rFonts w:ascii="Bookman Old Style" w:hAnsi="Bookman Old Style" w:cs="Arial"/>
          <w:sz w:val="20"/>
          <w:szCs w:val="20"/>
        </w:rPr>
      </w:pPr>
    </w:p>
    <w:p w:rsidR="008E10EC" w:rsidRPr="008A74B6" w:rsidRDefault="008E10EC" w:rsidP="00A31E84">
      <w:pPr>
        <w:pStyle w:val="Odstavecseseznamem"/>
        <w:spacing w:after="0" w:line="240" w:lineRule="auto"/>
        <w:ind w:left="0"/>
        <w:jc w:val="both"/>
        <w:rPr>
          <w:rFonts w:ascii="Bookman Old Style" w:eastAsia="Arial" w:hAnsi="Bookman Old Style" w:cs="Arial"/>
          <w:bCs/>
          <w:sz w:val="20"/>
          <w:szCs w:val="20"/>
        </w:rPr>
      </w:pPr>
      <w:r w:rsidRPr="008A74B6">
        <w:rPr>
          <w:rFonts w:ascii="Bookman Old Style" w:eastAsia="Arial" w:hAnsi="Bookman Old Style" w:cs="Arial"/>
          <w:b/>
          <w:bCs/>
          <w:sz w:val="20"/>
          <w:szCs w:val="20"/>
        </w:rPr>
        <w:t>Geografický informační systém:</w:t>
      </w:r>
    </w:p>
    <w:p w:rsidR="008A74B6"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GIS využívaný městem - MARUSHKA</w:t>
      </w:r>
    </w:p>
    <w:p w:rsidR="008A74B6"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Rozsah a seznam vrstev pro zakreslení VO – mapová část je zpracována pro území celého města ve třech vrstvách – popisné údaje, zakreslené kabelové trasy, zakreslené zařízení.</w:t>
      </w:r>
    </w:p>
    <w:p w:rsidR="008A74B6"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Způsob aktualizace – změny se provádění čtvrtletně po předání podkladů správci</w:t>
      </w:r>
    </w:p>
    <w:p w:rsidR="007D045D" w:rsidRPr="008A74B6" w:rsidRDefault="008A74B6" w:rsidP="008A74B6">
      <w:pPr>
        <w:pStyle w:val="Seznamsodrkami"/>
        <w:rPr>
          <w:rFonts w:ascii="Bookman Old Style" w:hAnsi="Bookman Old Style" w:cs="Arial"/>
          <w:sz w:val="20"/>
          <w:szCs w:val="20"/>
        </w:rPr>
      </w:pPr>
      <w:r w:rsidRPr="008A74B6">
        <w:rPr>
          <w:rFonts w:ascii="Bookman Old Style" w:hAnsi="Bookman Old Style" w:cs="Arial"/>
          <w:sz w:val="20"/>
          <w:szCs w:val="20"/>
        </w:rPr>
        <w:t>Možnosti exportu – dle požadavku zpracuje správce systému výstupy do souboru *.shp, *.dgn, *.dwg</w:t>
      </w:r>
    </w:p>
    <w:p w:rsidR="00077309" w:rsidRPr="00987B58" w:rsidRDefault="00077309" w:rsidP="007D045D">
      <w:pPr>
        <w:pStyle w:val="Seznamsodrkami"/>
        <w:numPr>
          <w:ilvl w:val="0"/>
          <w:numId w:val="0"/>
        </w:numPr>
        <w:ind w:left="360"/>
        <w:jc w:val="both"/>
        <w:rPr>
          <w:rFonts w:ascii="Bookman Old Style" w:hAnsi="Bookman Old Style" w:cs="Arial"/>
          <w:sz w:val="20"/>
          <w:szCs w:val="20"/>
        </w:rPr>
      </w:pPr>
    </w:p>
    <w:p w:rsidR="009254BC" w:rsidRPr="00987B58" w:rsidRDefault="009254BC" w:rsidP="00A31E84">
      <w:pPr>
        <w:pStyle w:val="Seznamsodrkami"/>
        <w:numPr>
          <w:ilvl w:val="0"/>
          <w:numId w:val="0"/>
        </w:numPr>
        <w:jc w:val="both"/>
        <w:rPr>
          <w:rFonts w:ascii="Bookman Old Style" w:hAnsi="Bookman Old Style" w:cs="Arial"/>
          <w:sz w:val="20"/>
          <w:szCs w:val="20"/>
        </w:rPr>
      </w:pPr>
    </w:p>
    <w:p w:rsidR="00B50D42" w:rsidRPr="00987B58" w:rsidRDefault="00B50D42" w:rsidP="003F48D3">
      <w:pPr>
        <w:pStyle w:val="Odstavecseseznamem"/>
        <w:numPr>
          <w:ilvl w:val="0"/>
          <w:numId w:val="1"/>
        </w:numPr>
        <w:spacing w:after="0" w:line="240" w:lineRule="auto"/>
        <w:ind w:left="426" w:hanging="426"/>
        <w:jc w:val="both"/>
        <w:rPr>
          <w:rFonts w:ascii="Bookman Old Style" w:eastAsia="Arial" w:hAnsi="Bookman Old Style" w:cs="Arial"/>
          <w:b/>
          <w:bCs/>
          <w:sz w:val="20"/>
          <w:szCs w:val="20"/>
        </w:rPr>
      </w:pPr>
      <w:r w:rsidRPr="00987B58">
        <w:rPr>
          <w:rFonts w:ascii="Bookman Old Style" w:eastAsia="Arial" w:hAnsi="Bookman Old Style" w:cs="Arial"/>
          <w:b/>
          <w:bCs/>
          <w:sz w:val="20"/>
          <w:szCs w:val="20"/>
        </w:rPr>
        <w:t>PŘEDMĚT VEŘEJNÉ ZAKÁZKY</w:t>
      </w:r>
    </w:p>
    <w:p w:rsidR="000D7BD0" w:rsidRPr="000D7BD0" w:rsidRDefault="000D7BD0" w:rsidP="000D7BD0">
      <w:pPr>
        <w:tabs>
          <w:tab w:val="left" w:pos="567"/>
          <w:tab w:val="left" w:pos="1134"/>
          <w:tab w:val="left" w:pos="1418"/>
          <w:tab w:val="left" w:pos="1701"/>
        </w:tabs>
        <w:autoSpaceDE w:val="0"/>
        <w:autoSpaceDN w:val="0"/>
        <w:adjustRightInd w:val="0"/>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 xml:space="preserve">Předmětem veřejné zakázky je </w:t>
      </w:r>
      <w:r w:rsidRPr="007951D3">
        <w:rPr>
          <w:rFonts w:ascii="Bookman Old Style" w:eastAsia="Arial" w:hAnsi="Bookman Old Style" w:cs="Arial"/>
          <w:color w:val="000000" w:themeColor="text1"/>
          <w:sz w:val="20"/>
          <w:szCs w:val="20"/>
        </w:rPr>
        <w:t xml:space="preserve">zpracování Koncepce veřejného osvětlení na území města Beroun v souladu se zákonem č.13/1997 Sb., prováděcí vyhláškou č.104/1997 Sb. </w:t>
      </w:r>
      <w:r w:rsidR="001C4623" w:rsidRPr="007951D3">
        <w:rPr>
          <w:rFonts w:ascii="Bookman Old Style" w:hAnsi="Bookman Old Style"/>
          <w:color w:val="000000" w:themeColor="text1"/>
          <w:sz w:val="20"/>
          <w:szCs w:val="20"/>
        </w:rPr>
        <w:t xml:space="preserve">(vše v aktuálně platném a účinném znění) </w:t>
      </w:r>
      <w:r w:rsidRPr="007951D3">
        <w:rPr>
          <w:rFonts w:ascii="Bookman Old Style" w:eastAsia="Arial" w:hAnsi="Bookman Old Style" w:cs="Arial"/>
          <w:color w:val="000000" w:themeColor="text1"/>
          <w:sz w:val="20"/>
          <w:szCs w:val="20"/>
        </w:rPr>
        <w:t>a souborem norem ČSN EN 13 201 Osvětlení pozemních komunikací, část 1 až 5, a normami ČSN EN 12464-2, Světlo a osvětlení - Osvětlení pracovních prostorů - Část</w:t>
      </w:r>
      <w:r w:rsidRPr="000D7BD0">
        <w:rPr>
          <w:rFonts w:ascii="Bookman Old Style" w:eastAsia="Arial" w:hAnsi="Bookman Old Style" w:cs="Arial"/>
          <w:sz w:val="20"/>
          <w:szCs w:val="20"/>
        </w:rPr>
        <w:t xml:space="preserve"> 2: Venkovní pracovní prostory, ČSN 73 6102 Projektování křižovatek na silničních komunikacích a ČSN 73 7507 Projektování tunelů pozemních komunikací a dalšími technickými normami za účelem zajištění kvalitního osvětlení pozemních komunikací včetně definování světelně-technických parametrů pro osvětlení vybraných objektů.</w:t>
      </w:r>
    </w:p>
    <w:p w:rsidR="00C36608" w:rsidRPr="00987B58" w:rsidRDefault="000D7BD0" w:rsidP="000D7BD0">
      <w:pPr>
        <w:tabs>
          <w:tab w:val="left" w:pos="567"/>
          <w:tab w:val="left" w:pos="1134"/>
          <w:tab w:val="left" w:pos="1418"/>
          <w:tab w:val="left" w:pos="1701"/>
        </w:tabs>
        <w:autoSpaceDE w:val="0"/>
        <w:autoSpaceDN w:val="0"/>
        <w:adjustRightInd w:val="0"/>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Jde o soubor strategických dokumentů, jejichž smyslem je definování parametrů, pravidel a</w:t>
      </w:r>
      <w:r>
        <w:rPr>
          <w:rFonts w:ascii="Bookman Old Style" w:eastAsia="Arial" w:hAnsi="Bookman Old Style" w:cs="Arial"/>
          <w:sz w:val="20"/>
          <w:szCs w:val="20"/>
        </w:rPr>
        <w:t> </w:t>
      </w:r>
      <w:r w:rsidRPr="000D7BD0">
        <w:rPr>
          <w:rFonts w:ascii="Bookman Old Style" w:eastAsia="Arial" w:hAnsi="Bookman Old Style" w:cs="Arial"/>
          <w:sz w:val="20"/>
          <w:szCs w:val="20"/>
        </w:rPr>
        <w:t>postupů ve veřejném osvětlení pro dosažení stanovených kvalitativních parametrů při odpovídajících provozních a investičních nákladech</w:t>
      </w:r>
      <w:r w:rsidR="00B50D42" w:rsidRPr="00987B58">
        <w:rPr>
          <w:rFonts w:ascii="Bookman Old Style" w:eastAsia="Arial" w:hAnsi="Bookman Old Style" w:cs="Arial"/>
          <w:sz w:val="20"/>
          <w:szCs w:val="20"/>
        </w:rPr>
        <w:t>.</w:t>
      </w:r>
    </w:p>
    <w:p w:rsidR="002E2A8A" w:rsidRPr="00987B58" w:rsidRDefault="000B59C7" w:rsidP="00987B58">
      <w:pPr>
        <w:tabs>
          <w:tab w:val="left" w:pos="567"/>
          <w:tab w:val="left" w:pos="1134"/>
          <w:tab w:val="left" w:pos="1418"/>
          <w:tab w:val="left" w:pos="1701"/>
        </w:tabs>
        <w:autoSpaceDE w:val="0"/>
        <w:autoSpaceDN w:val="0"/>
        <w:adjustRightInd w:val="0"/>
        <w:spacing w:before="120"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Zpracování koncepce</w:t>
      </w:r>
      <w:r w:rsidR="002E2A8A" w:rsidRPr="00987B58">
        <w:rPr>
          <w:rFonts w:ascii="Bookman Old Style" w:eastAsia="Arial" w:hAnsi="Bookman Old Style" w:cs="Arial"/>
          <w:sz w:val="20"/>
          <w:szCs w:val="20"/>
        </w:rPr>
        <w:t xml:space="preserve"> musí být v souladu s výzvou č. 58 Operačního programu Zaměstnanost, resp. s podanou žádostí o dotaci</w:t>
      </w:r>
      <w:r w:rsidR="002822D3" w:rsidRPr="00987B58">
        <w:rPr>
          <w:rFonts w:ascii="Bookman Old Style" w:eastAsia="Arial" w:hAnsi="Bookman Old Style" w:cs="Arial"/>
          <w:sz w:val="20"/>
          <w:szCs w:val="20"/>
        </w:rPr>
        <w:t xml:space="preserve"> s </w:t>
      </w:r>
      <w:r w:rsidR="002822D3" w:rsidRPr="007951D3">
        <w:rPr>
          <w:rFonts w:ascii="Bookman Old Style" w:eastAsia="Arial" w:hAnsi="Bookman Old Style" w:cs="Arial"/>
          <w:color w:val="000000" w:themeColor="text1"/>
          <w:sz w:val="20"/>
          <w:szCs w:val="20"/>
        </w:rPr>
        <w:t>názvem: „</w:t>
      </w:r>
      <w:r w:rsidR="001C4623" w:rsidRPr="007951D3">
        <w:rPr>
          <w:rFonts w:ascii="Bookman Old Style" w:eastAsia="Arial" w:hAnsi="Bookman Old Style" w:cs="Arial"/>
          <w:b/>
          <w:color w:val="000000" w:themeColor="text1"/>
          <w:sz w:val="20"/>
          <w:szCs w:val="20"/>
        </w:rPr>
        <w:t>Beroun – bezpečné město</w:t>
      </w:r>
      <w:r w:rsidR="002822D3" w:rsidRPr="007951D3">
        <w:rPr>
          <w:rFonts w:ascii="Bookman Old Style" w:eastAsia="Arial" w:hAnsi="Bookman Old Style" w:cs="Arial"/>
          <w:color w:val="000000" w:themeColor="text1"/>
          <w:sz w:val="20"/>
          <w:szCs w:val="20"/>
        </w:rPr>
        <w:t xml:space="preserve">“ (registrační číslo projektu: </w:t>
      </w:r>
      <w:r w:rsidR="009D67A1" w:rsidRPr="007951D3">
        <w:rPr>
          <w:rFonts w:ascii="Bookman Old Style" w:eastAsia="Arial" w:hAnsi="Bookman Old Style" w:cs="Arial"/>
          <w:b/>
          <w:color w:val="000000" w:themeColor="text1"/>
          <w:sz w:val="20"/>
          <w:szCs w:val="20"/>
        </w:rPr>
        <w:t>CZ.03.4.74/0.0/0.0/16_058/</w:t>
      </w:r>
      <w:r w:rsidR="009D67A1" w:rsidRPr="009D67A1">
        <w:rPr>
          <w:rFonts w:ascii="Bookman Old Style" w:eastAsia="Arial" w:hAnsi="Bookman Old Style" w:cs="Arial"/>
          <w:b/>
          <w:sz w:val="20"/>
          <w:szCs w:val="20"/>
        </w:rPr>
        <w:t>0007396</w:t>
      </w:r>
      <w:r w:rsidR="002822D3" w:rsidRPr="00987B58">
        <w:rPr>
          <w:rFonts w:ascii="Bookman Old Style" w:eastAsia="Arial" w:hAnsi="Bookman Old Style" w:cs="Arial"/>
          <w:sz w:val="20"/>
          <w:szCs w:val="20"/>
        </w:rPr>
        <w:t>)</w:t>
      </w:r>
      <w:r w:rsidR="002E2A8A" w:rsidRPr="00987B58">
        <w:rPr>
          <w:rFonts w:ascii="Bookman Old Style" w:eastAsia="Arial" w:hAnsi="Bookman Old Style" w:cs="Arial"/>
          <w:sz w:val="20"/>
          <w:szCs w:val="20"/>
        </w:rPr>
        <w:t>.</w:t>
      </w:r>
    </w:p>
    <w:p w:rsidR="00B3001D" w:rsidRPr="00987B58" w:rsidRDefault="000D7BD0" w:rsidP="00987B58">
      <w:pPr>
        <w:spacing w:before="120" w:after="0" w:line="240" w:lineRule="auto"/>
        <w:jc w:val="both"/>
        <w:rPr>
          <w:rFonts w:ascii="Bookman Old Style" w:hAnsi="Bookman Old Style" w:cs="Arial"/>
          <w:sz w:val="20"/>
          <w:szCs w:val="20"/>
        </w:rPr>
      </w:pPr>
      <w:r w:rsidRPr="000D7BD0">
        <w:rPr>
          <w:rFonts w:ascii="Bookman Old Style" w:eastAsia="Arial" w:hAnsi="Bookman Old Style" w:cs="Arial"/>
          <w:sz w:val="20"/>
          <w:szCs w:val="20"/>
        </w:rPr>
        <w:t>Koncepce bude také obsahovat princip monitorování a evaluace, který bude sledovat, zda se koncepce, resp. v jeho rámci definované cíle, daří naplňovat. Součástí koncepce bude i</w:t>
      </w:r>
      <w:r>
        <w:rPr>
          <w:rFonts w:ascii="Bookman Old Style" w:eastAsia="Arial" w:hAnsi="Bookman Old Style" w:cs="Arial"/>
          <w:sz w:val="20"/>
          <w:szCs w:val="20"/>
        </w:rPr>
        <w:t> </w:t>
      </w:r>
      <w:r w:rsidRPr="000D7BD0">
        <w:rPr>
          <w:rFonts w:ascii="Bookman Old Style" w:eastAsia="Arial" w:hAnsi="Bookman Old Style" w:cs="Arial"/>
          <w:sz w:val="20"/>
          <w:szCs w:val="20"/>
        </w:rPr>
        <w:t>definování vize budoucího stavu VO. V analytické části dokumentu bude také zohledněno členění na data týkající se žen a mužů</w:t>
      </w:r>
      <w:r w:rsidR="00B3001D" w:rsidRPr="00987B58">
        <w:rPr>
          <w:rFonts w:ascii="Bookman Old Style" w:hAnsi="Bookman Old Style" w:cs="Arial"/>
          <w:sz w:val="20"/>
          <w:szCs w:val="20"/>
        </w:rPr>
        <w:t>.</w:t>
      </w:r>
    </w:p>
    <w:p w:rsidR="0031595C" w:rsidRDefault="0031595C" w:rsidP="00987B58">
      <w:pPr>
        <w:spacing w:before="240" w:after="0" w:line="240" w:lineRule="auto"/>
        <w:jc w:val="both"/>
        <w:rPr>
          <w:rFonts w:ascii="Bookman Old Style" w:eastAsia="Arial" w:hAnsi="Bookman Old Style" w:cs="Arial"/>
          <w:b/>
          <w:bCs/>
          <w:i/>
          <w:iCs/>
          <w:sz w:val="20"/>
          <w:szCs w:val="20"/>
        </w:rPr>
      </w:pPr>
    </w:p>
    <w:p w:rsidR="001D5A0E" w:rsidRPr="00987B58" w:rsidRDefault="001D5A0E" w:rsidP="00987B58">
      <w:pPr>
        <w:spacing w:before="240" w:after="0" w:line="240" w:lineRule="auto"/>
        <w:jc w:val="both"/>
        <w:rPr>
          <w:rFonts w:ascii="Bookman Old Style" w:eastAsia="Arial" w:hAnsi="Bookman Old Style" w:cs="Arial"/>
          <w:b/>
          <w:bCs/>
          <w:i/>
          <w:iCs/>
          <w:sz w:val="20"/>
          <w:szCs w:val="20"/>
        </w:rPr>
      </w:pPr>
      <w:r w:rsidRPr="00987B58">
        <w:rPr>
          <w:rFonts w:ascii="Bookman Old Style" w:eastAsia="Arial" w:hAnsi="Bookman Old Style" w:cs="Arial"/>
          <w:b/>
          <w:bCs/>
          <w:i/>
          <w:iCs/>
          <w:sz w:val="20"/>
          <w:szCs w:val="20"/>
        </w:rPr>
        <w:t>A. ZÁKLA</w:t>
      </w:r>
      <w:r w:rsidR="004817E1">
        <w:rPr>
          <w:rFonts w:ascii="Bookman Old Style" w:eastAsia="Arial" w:hAnsi="Bookman Old Style" w:cs="Arial"/>
          <w:b/>
          <w:bCs/>
          <w:i/>
          <w:iCs/>
          <w:sz w:val="20"/>
          <w:szCs w:val="20"/>
        </w:rPr>
        <w:t>D</w:t>
      </w:r>
      <w:r w:rsidRPr="00987B58">
        <w:rPr>
          <w:rFonts w:ascii="Bookman Old Style" w:eastAsia="Arial" w:hAnsi="Bookman Old Style" w:cs="Arial"/>
          <w:b/>
          <w:bCs/>
          <w:i/>
          <w:iCs/>
          <w:sz w:val="20"/>
          <w:szCs w:val="20"/>
        </w:rPr>
        <w:t>NÍ PLÁN VEŘEJNÉHO OSVĚTLEN</w:t>
      </w:r>
      <w:r w:rsidR="00D354D8" w:rsidRPr="00987B58">
        <w:rPr>
          <w:rFonts w:ascii="Bookman Old Style" w:eastAsia="Arial" w:hAnsi="Bookman Old Style" w:cs="Arial"/>
          <w:b/>
          <w:bCs/>
          <w:i/>
          <w:iCs/>
          <w:sz w:val="20"/>
          <w:szCs w:val="20"/>
        </w:rPr>
        <w:t>Í</w:t>
      </w:r>
    </w:p>
    <w:p w:rsidR="001D5A0E" w:rsidRPr="00987B58" w:rsidRDefault="001D5A0E" w:rsidP="00987B58">
      <w:pPr>
        <w:spacing w:before="120" w:after="0" w:line="240" w:lineRule="auto"/>
        <w:jc w:val="both"/>
        <w:rPr>
          <w:rFonts w:ascii="Bookman Old Style" w:eastAsia="Arial" w:hAnsi="Bookman Old Style" w:cs="Arial"/>
          <w:sz w:val="20"/>
          <w:szCs w:val="20"/>
        </w:rPr>
      </w:pPr>
      <w:r w:rsidRPr="00987B58">
        <w:rPr>
          <w:rFonts w:ascii="Bookman Old Style" w:hAnsi="Bookman Old Style" w:cs="Arial"/>
          <w:i/>
          <w:sz w:val="20"/>
          <w:szCs w:val="20"/>
        </w:rPr>
        <w:t>Základní plán veřejného osvětlení</w:t>
      </w:r>
      <w:r w:rsidRPr="00987B58">
        <w:rPr>
          <w:rFonts w:ascii="Bookman Old Style" w:hAnsi="Bookman Old Style" w:cs="Arial"/>
          <w:sz w:val="20"/>
          <w:szCs w:val="20"/>
        </w:rPr>
        <w:t xml:space="preserve"> </w:t>
      </w:r>
      <w:r w:rsidR="000D7BD0" w:rsidRPr="000D7BD0">
        <w:rPr>
          <w:rFonts w:ascii="Bookman Old Style" w:hAnsi="Bookman Old Style" w:cs="Arial"/>
          <w:sz w:val="20"/>
          <w:szCs w:val="20"/>
        </w:rPr>
        <w:t>je architektonicko-urbanistickou a světelně technickou studií, v rámci které se řeší a navrhuje vzhled města ve večerních a nočních hodinách, utvářený veřejným a architekturním osvětlením. Součástí této studie je specifikace parametrů veřejného a architekturního osvětlení a osvětlovací soustavy, které slouží jako podklad pro navazující stupně projektové dokumentace. Dokument bude členěn na analytickou a návrhovou část v následující struktuře</w:t>
      </w:r>
      <w:r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Theme="minorEastAsia" w:hAnsi="Bookman Old Style"/>
          <w:b/>
          <w:i/>
          <w:sz w:val="20"/>
          <w:szCs w:val="20"/>
        </w:rPr>
      </w:pPr>
      <w:r w:rsidRPr="00987B58">
        <w:rPr>
          <w:rFonts w:ascii="Bookman Old Style" w:eastAsia="Arial" w:hAnsi="Bookman Old Style" w:cs="Arial"/>
          <w:b/>
          <w:i/>
          <w:sz w:val="20"/>
          <w:szCs w:val="20"/>
        </w:rPr>
        <w:t>A.1 Analytická část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A.1.1 Architektonicko-urbanistická analýza (dálkové a blízké pohledy, funkční struktura);</w:t>
      </w:r>
    </w:p>
    <w:p w:rsidR="001D5A0E"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 xml:space="preserve">Součástí architektonicko-urbanistické analýzy je rozbor a popis historického vývoje obce, její komunikační sítě a veřejných prostranství. Dále popisuje zasazení obce v krajině její pohledové uplatnění v dálkových i blízkých pohledech a specifikuje panoramata, veřejné prostory a objekty, které se při těchto pohledech uplatňují. Analyzuje funkční využití </w:t>
      </w:r>
      <w:r w:rsidRPr="000D7BD0">
        <w:rPr>
          <w:rFonts w:ascii="Bookman Old Style" w:eastAsia="Arial" w:hAnsi="Bookman Old Style" w:cs="Arial"/>
          <w:sz w:val="20"/>
          <w:szCs w:val="20"/>
        </w:rPr>
        <w:lastRenderedPageBreak/>
        <w:t>jednotlivých částí obce a specifikuje charakteristické zóny, v rámci kterých budou stanoveny jednotné architektonicko-urbanistické požadavky. V</w:t>
      </w:r>
      <w:r>
        <w:rPr>
          <w:rFonts w:ascii="Bookman Old Style" w:eastAsia="Arial" w:hAnsi="Bookman Old Style" w:cs="Arial"/>
          <w:sz w:val="20"/>
          <w:szCs w:val="20"/>
        </w:rPr>
        <w:t xml:space="preserve"> </w:t>
      </w:r>
      <w:r w:rsidRPr="000D7BD0">
        <w:rPr>
          <w:rFonts w:ascii="Bookman Old Style" w:eastAsia="Arial" w:hAnsi="Bookman Old Style" w:cs="Arial"/>
          <w:sz w:val="20"/>
          <w:szCs w:val="20"/>
        </w:rPr>
        <w:t>případě potřeby budou v</w:t>
      </w:r>
      <w:r>
        <w:rPr>
          <w:rFonts w:ascii="Bookman Old Style" w:eastAsia="Arial" w:hAnsi="Bookman Old Style" w:cs="Arial"/>
          <w:sz w:val="20"/>
          <w:szCs w:val="20"/>
        </w:rPr>
        <w:t> </w:t>
      </w:r>
      <w:r w:rsidRPr="000D7BD0">
        <w:rPr>
          <w:rFonts w:ascii="Bookman Old Style" w:eastAsia="Arial" w:hAnsi="Bookman Old Style" w:cs="Arial"/>
          <w:sz w:val="20"/>
          <w:szCs w:val="20"/>
        </w:rPr>
        <w:t>charakteristických zónách definovány specifické prostory, kde se budou architektonicko-urbanistické požadavky lišit nebo nebudou specifikovány. Specifikuje typologii komunikací z</w:t>
      </w:r>
      <w:r>
        <w:rPr>
          <w:rFonts w:ascii="Bookman Old Style" w:eastAsia="Arial" w:hAnsi="Bookman Old Style" w:cs="Arial"/>
          <w:sz w:val="20"/>
          <w:szCs w:val="20"/>
        </w:rPr>
        <w:t> </w:t>
      </w:r>
      <w:r w:rsidRPr="000D7BD0">
        <w:rPr>
          <w:rFonts w:ascii="Bookman Old Style" w:eastAsia="Arial" w:hAnsi="Bookman Old Style" w:cs="Arial"/>
          <w:sz w:val="20"/>
          <w:szCs w:val="20"/>
        </w:rPr>
        <w:t>pohledu geometrického uspořádání dopravního prostoru, zejména z pohledu příčného řezu. Specifikují se panorama, objekty a prostory, které utvářejí identitu místa, jsou symbolem obce a specifikují se hlavní směry, ze kterých se uplatňují, a části objektů a</w:t>
      </w:r>
      <w:r>
        <w:rPr>
          <w:rFonts w:ascii="Bookman Old Style" w:eastAsia="Arial" w:hAnsi="Bookman Old Style" w:cs="Arial"/>
          <w:sz w:val="20"/>
          <w:szCs w:val="20"/>
        </w:rPr>
        <w:t> </w:t>
      </w:r>
      <w:r w:rsidRPr="000D7BD0">
        <w:rPr>
          <w:rFonts w:ascii="Bookman Old Style" w:eastAsia="Arial" w:hAnsi="Bookman Old Style" w:cs="Arial"/>
          <w:sz w:val="20"/>
          <w:szCs w:val="20"/>
        </w:rPr>
        <w:t>prostorů, které se v těchto pohledech uplatňují</w:t>
      </w:r>
      <w:r w:rsidR="001D5A0E" w:rsidRPr="00987B58">
        <w:rPr>
          <w:rFonts w:ascii="Bookman Old Style" w:eastAsia="Arial" w:hAnsi="Bookman Old Style" w:cs="Arial"/>
          <w:sz w:val="20"/>
          <w:szCs w:val="20"/>
        </w:rPr>
        <w:t xml:space="preserve">. </w:t>
      </w:r>
    </w:p>
    <w:p w:rsidR="007D045D" w:rsidRDefault="007D045D" w:rsidP="00987B58">
      <w:pPr>
        <w:spacing w:before="120" w:after="0" w:line="240" w:lineRule="auto"/>
        <w:jc w:val="both"/>
        <w:rPr>
          <w:rFonts w:ascii="Bookman Old Style" w:eastAsia="Arial" w:hAnsi="Bookman Old Style" w:cs="Arial"/>
          <w:i/>
          <w:sz w:val="20"/>
          <w:szCs w:val="20"/>
          <w:u w:val="single"/>
        </w:rPr>
      </w:pP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A.1.2 Dopravně bezpečnostní analýza (struktura komunikací, intenzita dopravy, nehodovost);</w:t>
      </w:r>
    </w:p>
    <w:p w:rsidR="000D7BD0" w:rsidRPr="000D7BD0" w:rsidRDefault="000D7BD0" w:rsidP="000D7BD0">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Součástí dopravní analýzy je zajištění jednoznačné identifikace všech pozemních komunikací. U neoznačených komunikací (např. parkoviště, veřejná prostranství, vnitrobloky, tunely, podjezdy, podchody, lávky, schodiště, parkoviště, chodníky, cesty pro pěší apod.) bude navržen způsob jednoznačné identifikace, aby bylo možné k těmto komunikacím přiřadit parametry osvětlení a osvětlovací soustavy. Ke všem pozemním komunikacím bude doplněna třída komunikace podle pasportu pozemních komunikací v</w:t>
      </w:r>
      <w:r>
        <w:rPr>
          <w:rFonts w:ascii="Bookman Old Style" w:eastAsia="Arial" w:hAnsi="Bookman Old Style" w:cs="Arial"/>
          <w:sz w:val="20"/>
          <w:szCs w:val="20"/>
        </w:rPr>
        <w:t> </w:t>
      </w:r>
      <w:r w:rsidRPr="000D7BD0">
        <w:rPr>
          <w:rFonts w:ascii="Bookman Old Style" w:eastAsia="Arial" w:hAnsi="Bookman Old Style" w:cs="Arial"/>
          <w:sz w:val="20"/>
          <w:szCs w:val="20"/>
        </w:rPr>
        <w:t>souladu s administrativním dělením pozemních komunikací v zákoně č.13/1997 Sb. Na</w:t>
      </w:r>
      <w:r>
        <w:rPr>
          <w:rFonts w:ascii="Bookman Old Style" w:eastAsia="Arial" w:hAnsi="Bookman Old Style" w:cs="Arial"/>
          <w:sz w:val="20"/>
          <w:szCs w:val="20"/>
        </w:rPr>
        <w:t> </w:t>
      </w:r>
      <w:r w:rsidRPr="000D7BD0">
        <w:rPr>
          <w:rFonts w:ascii="Bookman Old Style" w:eastAsia="Arial" w:hAnsi="Bookman Old Style" w:cs="Arial"/>
          <w:sz w:val="20"/>
          <w:szCs w:val="20"/>
        </w:rPr>
        <w:t xml:space="preserve">základě předchozích analýz bude vytvořen databázový seznam všech osvětlovaných pozemních komunikací s jednoznačnou identifikací. Každé komunikaci bude přiřazeno administrativní zatřídění, základní geometrické parametry (délka, šířka) a typ příčného řezu popisující geometrické uspořádání dopravního prostoru, resp. veřejného prostranství. </w:t>
      </w:r>
    </w:p>
    <w:p w:rsidR="001D5A0E" w:rsidRPr="00987B58" w:rsidRDefault="000D7BD0" w:rsidP="000D7BD0">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Ke všem průjezdním úsekům silnic a dálnic budou přiřazeny denní intenzity dopravy z</w:t>
      </w:r>
      <w:r>
        <w:rPr>
          <w:rFonts w:ascii="Bookman Old Style" w:eastAsia="Arial" w:hAnsi="Bookman Old Style" w:cs="Arial"/>
          <w:sz w:val="20"/>
          <w:szCs w:val="20"/>
        </w:rPr>
        <w:t> </w:t>
      </w:r>
      <w:r w:rsidRPr="000D7BD0">
        <w:rPr>
          <w:rFonts w:ascii="Bookman Old Style" w:eastAsia="Arial" w:hAnsi="Bookman Old Style" w:cs="Arial"/>
          <w:sz w:val="20"/>
          <w:szCs w:val="20"/>
        </w:rPr>
        <w:t>aktuálního sčítání dopravy z roku 2010/2016, které budou podkladem pro definování světelně-technických parametrů pozemních komunikací. V případě, že má obec zpracovánu dopravní studii, kde jsou uvedeny denní intenzity dopravy na místních komunikacích, přiřadí se tyto intenzity k příslušným místním komunikacím. Každé komunikaci s</w:t>
      </w:r>
      <w:r>
        <w:rPr>
          <w:rFonts w:ascii="Bookman Old Style" w:eastAsia="Arial" w:hAnsi="Bookman Old Style" w:cs="Arial"/>
          <w:sz w:val="20"/>
          <w:szCs w:val="20"/>
        </w:rPr>
        <w:t> </w:t>
      </w:r>
      <w:r w:rsidRPr="000D7BD0">
        <w:rPr>
          <w:rFonts w:ascii="Bookman Old Style" w:eastAsia="Arial" w:hAnsi="Bookman Old Style" w:cs="Arial"/>
          <w:sz w:val="20"/>
          <w:szCs w:val="20"/>
        </w:rPr>
        <w:t>přiřazenou intenzitou dopravy se definuje standardní průběh hodinových intenzit ze snímacích zařízení. Pokud nejsou snímací zařízení instalována nebo nejsou tyto informace dostupné, stanoví se tento průběh podle rozložení intenzit dopravy uvedených v TP189 (ŘSD). U všech komunikací, u kterých to jejich charakter umožňuje, bude stanovena jejich maximální kapacita. Bude proveden pasport přechodů v obci, jejich lokalizace a typologie. Součástí dopravně bezpečnostní analýzy bude rozbor dopravní nehodovosti na pozemních komunikacích obce v nočních hodinách za období od 1. 1. 2012 do 31. 12. 201</w:t>
      </w:r>
      <w:r w:rsidR="00955A38">
        <w:rPr>
          <w:rFonts w:ascii="Bookman Old Style" w:eastAsia="Arial" w:hAnsi="Bookman Old Style" w:cs="Arial"/>
          <w:sz w:val="20"/>
          <w:szCs w:val="20"/>
        </w:rPr>
        <w:t>7</w:t>
      </w:r>
      <w:r w:rsidRPr="000D7BD0">
        <w:rPr>
          <w:rFonts w:ascii="Bookman Old Style" w:eastAsia="Arial" w:hAnsi="Bookman Old Style" w:cs="Arial"/>
          <w:sz w:val="20"/>
          <w:szCs w:val="20"/>
        </w:rPr>
        <w:t xml:space="preserve"> a na základě výsledků tohoto rozboru budou stanoveny úseky a uzly na pozemních komunikacích se zvýšenou dopravní nehodovostí. V rámci hodnocení nehodovosti se provede vyhodnocení četnosti nehod v závislosti na noční hodině a stanoví se časový úsek, který je z pohledu četnosti nehod nejvýznamnější. Ve spolupráci s obcí se stanoví rozsah osvětlovaných pozemních komunikací a místa se zvýšenou osvětleností z důvodu zvýšené dopravní nehodovosti nebo u potenciálně nebezpečných úseků (přechody pro chodce u škol apod.). V případě, že budou k dispozici informace od obce nebo statistiky od policie o úrovni kriminality, určí se veřejná prostranství se zvýšeným výskytem násilné kriminality v noční době</w:t>
      </w:r>
      <w:r w:rsidR="001D5A0E" w:rsidRPr="00987B58">
        <w:rPr>
          <w:rFonts w:ascii="Bookman Old Style" w:eastAsia="Arial" w:hAnsi="Bookman Old Style" w:cs="Arial"/>
          <w:sz w:val="20"/>
          <w:szCs w:val="20"/>
        </w:rPr>
        <w:t xml:space="preserve">. </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A.1.3 Environmentální analýza (rušivý vliv na místní obyvatele, řidiče, vzhled města).</w:t>
      </w:r>
    </w:p>
    <w:p w:rsidR="000D7BD0"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Součástí environmentální analýzy bude specifikace oblastí a okolního prostředí v obci s</w:t>
      </w:r>
      <w:r>
        <w:rPr>
          <w:rFonts w:ascii="Bookman Old Style" w:eastAsia="Arial" w:hAnsi="Bookman Old Style" w:cs="Arial"/>
          <w:sz w:val="20"/>
          <w:szCs w:val="20"/>
        </w:rPr>
        <w:t> </w:t>
      </w:r>
      <w:r w:rsidRPr="000D7BD0">
        <w:rPr>
          <w:rFonts w:ascii="Bookman Old Style" w:eastAsia="Arial" w:hAnsi="Bookman Old Style" w:cs="Arial"/>
          <w:sz w:val="20"/>
          <w:szCs w:val="20"/>
        </w:rPr>
        <w:t>potenciálním rušivým dopadem veřejného a architekturního osvětlení (např. rušivý vliv na místní obyvatele v částech s obytnou zástavbou nebo na vzhled města, rušivý vliv architekturního osvětlení na místní obyvatele nebo na oslnění řidičů atd.)</w:t>
      </w:r>
      <w:r>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A.1.4 Provozní analýza</w:t>
      </w:r>
    </w:p>
    <w:p w:rsidR="007D045D"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Analýza informací o současném nebo připravovaném zapojení obce do koncepce „Smart city“. Rozbor možností ovládání a řízení veřejného osvětlení a na základě vyhodnocení jednotlivých možností stanovení způsobu ovládání a případně řízení veřejného osvětlení. Analýza veřejných prostranství z pohledu mechanické bezpečnosti nosných konstrukci na veřejných prostranstvích. Analýza požadavků využití nosných konstrukcí veřejného osvětlení k dalším účelům (pronájem reklamních panelů, dopravní značky, informační systém, kamerový systém apod.).</w:t>
      </w:r>
    </w:p>
    <w:p w:rsidR="000D7BD0" w:rsidRPr="00987B58" w:rsidRDefault="000D7BD0" w:rsidP="00987B58">
      <w:pPr>
        <w:spacing w:before="120" w:after="0" w:line="240" w:lineRule="auto"/>
        <w:jc w:val="both"/>
        <w:rPr>
          <w:rFonts w:ascii="Bookman Old Style" w:eastAsia="Arial" w:hAnsi="Bookman Old Style" w:cs="Arial"/>
          <w:sz w:val="20"/>
          <w:szCs w:val="20"/>
        </w:rPr>
      </w:pPr>
    </w:p>
    <w:p w:rsidR="001D5A0E" w:rsidRPr="00987B58" w:rsidRDefault="001D5A0E" w:rsidP="00987B58">
      <w:pPr>
        <w:spacing w:before="120" w:after="0" w:line="240" w:lineRule="auto"/>
        <w:jc w:val="both"/>
        <w:rPr>
          <w:rFonts w:ascii="Bookman Old Style" w:eastAsiaTheme="minorEastAsia" w:hAnsi="Bookman Old Style"/>
          <w:b/>
          <w:i/>
          <w:sz w:val="20"/>
          <w:szCs w:val="20"/>
        </w:rPr>
      </w:pPr>
      <w:r w:rsidRPr="00987B58">
        <w:rPr>
          <w:rFonts w:ascii="Bookman Old Style" w:eastAsia="Arial" w:hAnsi="Bookman Old Style" w:cs="Arial"/>
          <w:b/>
          <w:i/>
          <w:sz w:val="20"/>
          <w:szCs w:val="20"/>
        </w:rPr>
        <w:lastRenderedPageBreak/>
        <w:t>A.2 Návrhová část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 xml:space="preserve">2.1 Architektonicko-urbanistické řešení </w:t>
      </w:r>
    </w:p>
    <w:p w:rsidR="001D5A0E"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V rámci architektonicko-urbanistického řešení se navrhne koncepce nočního vzhledu města vytvářeného venkovním a architekturním osvětlením. V rámci této koncepce se specifikují stavby, drobná architektura, přírodní prvky apod. pro architekturní osvětlení. Tato koncepce se následně transformuje do charakteristických zón a specifických oblastí. Charakteristickým zónám, příp. jejich specifickým oblastem, budou přiřazeny parametry osvětlení a osvětlovací soustavy, které ovlivňují vzhled veřejných prostranství obce z blízkých i dálkových pohledů. V rámci architektonicko-urbanistického řešení veřejného osvětlení budou pro všechny pozemní komunikace města specifikovány následující parametry</w:t>
      </w:r>
      <w:r w:rsidR="001D5A0E" w:rsidRPr="00987B58">
        <w:rPr>
          <w:rFonts w:ascii="Bookman Old Style" w:eastAsia="Arial" w:hAnsi="Bookman Old Style" w:cs="Arial"/>
          <w:sz w:val="20"/>
          <w:szCs w:val="20"/>
        </w:rPr>
        <w:t xml:space="preserve">: </w:t>
      </w:r>
    </w:p>
    <w:p w:rsidR="001D5A0E" w:rsidRPr="00987B58" w:rsidRDefault="001D5A0E" w:rsidP="003F48D3">
      <w:pPr>
        <w:pStyle w:val="Odstavecseseznamem"/>
        <w:numPr>
          <w:ilvl w:val="0"/>
          <w:numId w:val="3"/>
        </w:numPr>
        <w:spacing w:before="120" w:after="0" w:line="240" w:lineRule="auto"/>
        <w:contextualSpacing w:val="0"/>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teplota chromatičnosti </w:t>
      </w:r>
      <w:r w:rsidRPr="00987B58">
        <w:rPr>
          <w:rFonts w:ascii="Bookman Old Style" w:eastAsia="Arial" w:hAnsi="Bookman Old Style" w:cs="Times New Roman"/>
          <w:i/>
          <w:sz w:val="20"/>
          <w:szCs w:val="20"/>
        </w:rPr>
        <w:t>T</w:t>
      </w:r>
      <w:r w:rsidRPr="00987B58">
        <w:rPr>
          <w:rFonts w:ascii="Bookman Old Style" w:eastAsia="Arial" w:hAnsi="Bookman Old Style" w:cs="Arial"/>
          <w:sz w:val="20"/>
          <w:szCs w:val="20"/>
          <w:vertAlign w:val="subscript"/>
        </w:rPr>
        <w:t>cp</w:t>
      </w:r>
      <w:r w:rsidRPr="00987B58">
        <w:rPr>
          <w:rFonts w:ascii="Bookman Old Style" w:eastAsia="Arial" w:hAnsi="Bookman Old Style" w:cs="Arial"/>
          <w:sz w:val="20"/>
          <w:szCs w:val="20"/>
        </w:rPr>
        <w:t xml:space="preserve"> (K) s tolerancí </w:t>
      </w:r>
      <w:r w:rsidRPr="00987B58">
        <w:rPr>
          <w:rFonts w:ascii="Bookman Old Style" w:eastAsia="Arial" w:hAnsi="Bookman Old Style" w:cs="Calibri"/>
          <w:sz w:val="20"/>
          <w:szCs w:val="20"/>
        </w:rPr>
        <w:t>±</w:t>
      </w:r>
      <w:r w:rsidRPr="00987B58">
        <w:rPr>
          <w:rFonts w:ascii="Bookman Old Style" w:eastAsia="Arial" w:hAnsi="Bookman Old Style" w:cs="Arial"/>
          <w:sz w:val="20"/>
          <w:szCs w:val="20"/>
        </w:rPr>
        <w:t>10%;</w:t>
      </w:r>
    </w:p>
    <w:p w:rsidR="001D5A0E" w:rsidRPr="00987B58" w:rsidRDefault="001D5A0E" w:rsidP="003F48D3">
      <w:pPr>
        <w:pStyle w:val="Odstavecseseznamem"/>
        <w:numPr>
          <w:ilvl w:val="0"/>
          <w:numId w:val="3"/>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minimální index podání barev </w:t>
      </w:r>
      <w:r w:rsidRPr="00987B58">
        <w:rPr>
          <w:rFonts w:ascii="Bookman Old Style" w:eastAsia="Arial" w:hAnsi="Bookman Old Style" w:cs="Times New Roman"/>
          <w:i/>
          <w:sz w:val="20"/>
          <w:szCs w:val="20"/>
        </w:rPr>
        <w:t>R</w:t>
      </w:r>
      <w:r w:rsidRPr="00987B58">
        <w:rPr>
          <w:rFonts w:ascii="Bookman Old Style" w:eastAsia="Arial" w:hAnsi="Bookman Old Style" w:cs="Arial"/>
          <w:sz w:val="20"/>
          <w:szCs w:val="20"/>
          <w:vertAlign w:val="subscript"/>
        </w:rPr>
        <w:t xml:space="preserve">a,min </w:t>
      </w:r>
      <w:r w:rsidRPr="00987B58">
        <w:rPr>
          <w:rFonts w:ascii="Bookman Old Style" w:eastAsia="Arial" w:hAnsi="Bookman Old Style" w:cs="Arial"/>
          <w:sz w:val="20"/>
          <w:szCs w:val="20"/>
        </w:rPr>
        <w:t>(-);</w:t>
      </w:r>
    </w:p>
    <w:p w:rsidR="001D5A0E" w:rsidRPr="00987B58" w:rsidRDefault="001D5A0E" w:rsidP="003F48D3">
      <w:pPr>
        <w:pStyle w:val="Odstavecseseznamem"/>
        <w:numPr>
          <w:ilvl w:val="0"/>
          <w:numId w:val="3"/>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charakter osvětlení (osvětlení komunikací nebo osvětlení prostoru);</w:t>
      </w:r>
    </w:p>
    <w:p w:rsidR="001D5A0E" w:rsidRPr="00987B58" w:rsidRDefault="001D5A0E" w:rsidP="003F48D3">
      <w:pPr>
        <w:pStyle w:val="Odstavecseseznamem"/>
        <w:numPr>
          <w:ilvl w:val="0"/>
          <w:numId w:val="3"/>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maximální výška světelných míst </w:t>
      </w:r>
      <w:r w:rsidRPr="00987B58">
        <w:rPr>
          <w:rFonts w:ascii="Bookman Old Style" w:eastAsia="Arial" w:hAnsi="Bookman Old Style" w:cs="Times New Roman"/>
          <w:i/>
          <w:sz w:val="20"/>
          <w:szCs w:val="20"/>
        </w:rPr>
        <w:t>H</w:t>
      </w:r>
      <w:r w:rsidRPr="00987B58">
        <w:rPr>
          <w:rFonts w:ascii="Bookman Old Style" w:eastAsia="Arial" w:hAnsi="Bookman Old Style" w:cs="Arial"/>
          <w:sz w:val="20"/>
          <w:szCs w:val="20"/>
          <w:vertAlign w:val="subscript"/>
        </w:rPr>
        <w:t>max</w:t>
      </w:r>
      <w:r w:rsidRPr="00987B58">
        <w:rPr>
          <w:rFonts w:ascii="Bookman Old Style" w:eastAsia="Arial" w:hAnsi="Bookman Old Style" w:cs="Arial"/>
          <w:sz w:val="20"/>
          <w:szCs w:val="20"/>
        </w:rPr>
        <w:t xml:space="preserve"> (m);</w:t>
      </w:r>
    </w:p>
    <w:p w:rsidR="001D5A0E" w:rsidRPr="00987B58" w:rsidRDefault="001D5A0E" w:rsidP="003F48D3">
      <w:pPr>
        <w:pStyle w:val="Odstavecseseznamem"/>
        <w:numPr>
          <w:ilvl w:val="0"/>
          <w:numId w:val="3"/>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typologie svítidel veřejného osvětlení (technické, historizující, parkové, designové);</w:t>
      </w:r>
    </w:p>
    <w:p w:rsidR="001D5A0E" w:rsidRPr="00987B58" w:rsidRDefault="001D5A0E" w:rsidP="003F48D3">
      <w:pPr>
        <w:pStyle w:val="Odstavecseseznamem"/>
        <w:numPr>
          <w:ilvl w:val="0"/>
          <w:numId w:val="3"/>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materiál nosných konstrukcí;</w:t>
      </w:r>
    </w:p>
    <w:p w:rsidR="001D5A0E" w:rsidRPr="00987B58" w:rsidRDefault="001D5A0E" w:rsidP="003F48D3">
      <w:pPr>
        <w:pStyle w:val="Odstavecseseznamem"/>
        <w:numPr>
          <w:ilvl w:val="0"/>
          <w:numId w:val="3"/>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povrchová úprava nosných konstrukcí, příp. barva;</w:t>
      </w:r>
    </w:p>
    <w:p w:rsidR="001D5A0E" w:rsidRPr="00987B58" w:rsidRDefault="001D5A0E" w:rsidP="00987B58">
      <w:pPr>
        <w:spacing w:before="120"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Tyto parametry budou následně doplněny do databázového seznamu se všemi pozemními komunikacemi. </w:t>
      </w:r>
    </w:p>
    <w:p w:rsidR="001D5A0E" w:rsidRPr="001C4623" w:rsidRDefault="000D2688" w:rsidP="00987B58">
      <w:pPr>
        <w:spacing w:before="120" w:after="0" w:line="240" w:lineRule="auto"/>
        <w:jc w:val="both"/>
        <w:rPr>
          <w:rFonts w:ascii="Bookman Old Style" w:eastAsia="Arial" w:hAnsi="Bookman Old Style" w:cs="Arial"/>
          <w:sz w:val="20"/>
          <w:szCs w:val="20"/>
        </w:rPr>
      </w:pPr>
      <w:r w:rsidRPr="001C4623">
        <w:rPr>
          <w:rFonts w:ascii="Bookman Old Style" w:eastAsia="Arial" w:hAnsi="Bookman Old Style" w:cs="Arial"/>
          <w:sz w:val="20"/>
          <w:szCs w:val="20"/>
        </w:rPr>
        <w:t>Pro účely architekturního osvětlení budou u každé stavby, drobná architektury přírodního prvku v závislosti způsobu osvětlení prostorově specifikovány části těchto objektů. Zadavatel počítá se stanovením světelně-technických parametrů u 15 objektů (kostel sv.</w:t>
      </w:r>
      <w:r w:rsidR="00BC54DD">
        <w:rPr>
          <w:rFonts w:ascii="Bookman Old Style" w:eastAsia="Arial" w:hAnsi="Bookman Old Style" w:cs="Arial"/>
          <w:sz w:val="20"/>
          <w:szCs w:val="20"/>
        </w:rPr>
        <w:t xml:space="preserve"> </w:t>
      </w:r>
      <w:r w:rsidRPr="001C4623">
        <w:rPr>
          <w:rFonts w:ascii="Bookman Old Style" w:eastAsia="Arial" w:hAnsi="Bookman Old Style" w:cs="Arial"/>
          <w:sz w:val="20"/>
          <w:szCs w:val="20"/>
        </w:rPr>
        <w:t xml:space="preserve">Jakuba – Seydlerovo náměstí, Plzeňská brána – Husovo náměstí, Pražská brána – Husovo náměstí, Duslova vila – Pakostův sad, kulturní dům Plzeňka, kino, rozhledna, lávka u bývalého autobusového nádraží, lávka </w:t>
      </w:r>
      <w:r w:rsidR="00BC54DD" w:rsidRPr="001C4623">
        <w:rPr>
          <w:rFonts w:ascii="Bookman Old Style" w:eastAsia="Arial" w:hAnsi="Bookman Old Style" w:cs="Arial"/>
          <w:sz w:val="20"/>
          <w:szCs w:val="20"/>
        </w:rPr>
        <w:t>dřevěná</w:t>
      </w:r>
      <w:r w:rsidRPr="001C4623">
        <w:rPr>
          <w:rFonts w:ascii="Bookman Old Style" w:eastAsia="Arial" w:hAnsi="Bookman Old Style" w:cs="Arial"/>
          <w:sz w:val="20"/>
          <w:szCs w:val="20"/>
        </w:rPr>
        <w:t xml:space="preserve"> – na Ostrově, lávka Na Ptáku, náhon, jez a objekt elektrárny, 1.a 3. základní škola a parčík před ZŠ – Wagnerovo náměstí, brány hřbitova, kaple sv. Václava na Jarově). </w:t>
      </w:r>
      <w:r w:rsidR="000D7BD0" w:rsidRPr="001C4623">
        <w:rPr>
          <w:rFonts w:ascii="Bookman Old Style" w:eastAsia="Arial" w:hAnsi="Bookman Old Style" w:cs="Arial"/>
          <w:sz w:val="20"/>
          <w:szCs w:val="20"/>
        </w:rPr>
        <w:t>Těmto objektům pak budou přiřazeny následující parametry</w:t>
      </w:r>
      <w:r w:rsidR="001D5A0E" w:rsidRPr="001C4623">
        <w:rPr>
          <w:rFonts w:ascii="Bookman Old Style" w:eastAsia="Arial" w:hAnsi="Bookman Old Style" w:cs="Arial"/>
          <w:sz w:val="20"/>
          <w:szCs w:val="20"/>
        </w:rPr>
        <w:t>:</w:t>
      </w:r>
    </w:p>
    <w:p w:rsidR="001D5A0E" w:rsidRPr="00DF32A5" w:rsidRDefault="001D5A0E" w:rsidP="003F48D3">
      <w:pPr>
        <w:pStyle w:val="Odstavecseseznamem"/>
        <w:numPr>
          <w:ilvl w:val="0"/>
          <w:numId w:val="4"/>
        </w:numPr>
        <w:spacing w:before="120" w:after="0" w:line="240" w:lineRule="auto"/>
        <w:contextualSpacing w:val="0"/>
        <w:jc w:val="both"/>
        <w:rPr>
          <w:rFonts w:ascii="Bookman Old Style" w:eastAsia="Arial" w:hAnsi="Bookman Old Style" w:cs="Arial"/>
          <w:sz w:val="20"/>
          <w:szCs w:val="20"/>
        </w:rPr>
      </w:pPr>
      <w:r w:rsidRPr="00DF32A5">
        <w:rPr>
          <w:rFonts w:ascii="Bookman Old Style" w:eastAsia="Arial" w:hAnsi="Bookman Old Style" w:cs="Arial"/>
          <w:sz w:val="20"/>
          <w:szCs w:val="20"/>
        </w:rPr>
        <w:t>průměrný jas L</w:t>
      </w:r>
      <w:r w:rsidRPr="00DF32A5">
        <w:rPr>
          <w:rFonts w:ascii="Bookman Old Style" w:eastAsia="Arial" w:hAnsi="Bookman Old Style" w:cs="Arial"/>
          <w:sz w:val="20"/>
          <w:szCs w:val="20"/>
          <w:vertAlign w:val="subscript"/>
        </w:rPr>
        <w:t>m</w:t>
      </w:r>
      <w:r w:rsidRPr="00DF32A5">
        <w:rPr>
          <w:rFonts w:ascii="Bookman Old Style" w:eastAsia="Arial" w:hAnsi="Bookman Old Style" w:cs="Arial"/>
          <w:sz w:val="20"/>
          <w:szCs w:val="20"/>
        </w:rPr>
        <w:t xml:space="preserve"> (cd/m</w:t>
      </w:r>
      <w:r w:rsidRPr="00DF32A5">
        <w:rPr>
          <w:rFonts w:ascii="Bookman Old Style" w:eastAsia="Arial" w:hAnsi="Bookman Old Style" w:cs="Arial"/>
          <w:sz w:val="20"/>
          <w:szCs w:val="20"/>
          <w:vertAlign w:val="superscript"/>
        </w:rPr>
        <w:t>2</w:t>
      </w:r>
      <w:r w:rsidRPr="00DF32A5">
        <w:rPr>
          <w:rFonts w:ascii="Bookman Old Style" w:eastAsia="Arial" w:hAnsi="Bookman Old Style" w:cs="Arial"/>
          <w:sz w:val="20"/>
          <w:szCs w:val="20"/>
        </w:rPr>
        <w:t>);</w:t>
      </w:r>
    </w:p>
    <w:p w:rsidR="001D5A0E" w:rsidRPr="00987B58" w:rsidRDefault="001D5A0E" w:rsidP="003F48D3">
      <w:pPr>
        <w:pStyle w:val="Odstavecseseznamem"/>
        <w:numPr>
          <w:ilvl w:val="0"/>
          <w:numId w:val="4"/>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teplota chromatičnosti </w:t>
      </w:r>
      <w:r w:rsidRPr="00987B58">
        <w:rPr>
          <w:rFonts w:ascii="Bookman Old Style" w:eastAsia="Arial" w:hAnsi="Bookman Old Style" w:cs="Times New Roman"/>
          <w:i/>
          <w:sz w:val="20"/>
          <w:szCs w:val="20"/>
        </w:rPr>
        <w:t>T</w:t>
      </w:r>
      <w:r w:rsidRPr="00987B58">
        <w:rPr>
          <w:rFonts w:ascii="Bookman Old Style" w:eastAsia="Arial" w:hAnsi="Bookman Old Style" w:cs="Arial"/>
          <w:sz w:val="20"/>
          <w:szCs w:val="20"/>
          <w:vertAlign w:val="subscript"/>
        </w:rPr>
        <w:t>cp</w:t>
      </w:r>
      <w:r w:rsidRPr="00987B58">
        <w:rPr>
          <w:rFonts w:ascii="Bookman Old Style" w:eastAsia="Arial" w:hAnsi="Bookman Old Style" w:cs="Arial"/>
          <w:sz w:val="20"/>
          <w:szCs w:val="20"/>
        </w:rPr>
        <w:t xml:space="preserve"> (K) s tolerancí </w:t>
      </w:r>
      <w:r w:rsidRPr="00987B58">
        <w:rPr>
          <w:rFonts w:ascii="Bookman Old Style" w:eastAsia="Arial" w:hAnsi="Bookman Old Style" w:cs="Calibri"/>
          <w:sz w:val="20"/>
          <w:szCs w:val="20"/>
        </w:rPr>
        <w:t>±</w:t>
      </w:r>
      <w:r w:rsidRPr="00987B58">
        <w:rPr>
          <w:rFonts w:ascii="Bookman Old Style" w:eastAsia="Arial" w:hAnsi="Bookman Old Style" w:cs="Arial"/>
          <w:sz w:val="20"/>
          <w:szCs w:val="20"/>
        </w:rPr>
        <w:t xml:space="preserve">10% (bílé osvětlení), </w:t>
      </w:r>
    </w:p>
    <w:p w:rsidR="001D5A0E" w:rsidRPr="00987B58" w:rsidRDefault="001D5A0E" w:rsidP="003F48D3">
      <w:pPr>
        <w:pStyle w:val="Odstavecseseznamem"/>
        <w:numPr>
          <w:ilvl w:val="0"/>
          <w:numId w:val="4"/>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trichromatické souřadnice </w:t>
      </w:r>
      <w:r w:rsidRPr="00987B58">
        <w:rPr>
          <w:rFonts w:ascii="Bookman Old Style" w:eastAsia="Arial" w:hAnsi="Bookman Old Style" w:cs="Times New Roman"/>
          <w:i/>
          <w:sz w:val="20"/>
          <w:szCs w:val="20"/>
        </w:rPr>
        <w:t>x</w:t>
      </w:r>
      <w:r w:rsidRPr="00987B58">
        <w:rPr>
          <w:rFonts w:ascii="Bookman Old Style" w:eastAsia="Arial" w:hAnsi="Bookman Old Style" w:cs="Arial"/>
          <w:sz w:val="20"/>
          <w:szCs w:val="20"/>
        </w:rPr>
        <w:t xml:space="preserve">, </w:t>
      </w:r>
      <w:r w:rsidRPr="00987B58">
        <w:rPr>
          <w:rFonts w:ascii="Bookman Old Style" w:eastAsia="Arial" w:hAnsi="Bookman Old Style" w:cs="Times New Roman"/>
          <w:i/>
          <w:sz w:val="20"/>
          <w:szCs w:val="20"/>
        </w:rPr>
        <w:t>y</w:t>
      </w:r>
      <w:r w:rsidRPr="00987B58">
        <w:rPr>
          <w:rFonts w:ascii="Bookman Old Style" w:eastAsia="Arial" w:hAnsi="Bookman Old Style" w:cs="Arial"/>
          <w:sz w:val="20"/>
          <w:szCs w:val="20"/>
        </w:rPr>
        <w:t xml:space="preserve"> s tolerancí </w:t>
      </w:r>
      <w:r w:rsidRPr="00987B58">
        <w:rPr>
          <w:rFonts w:ascii="Bookman Old Style" w:eastAsia="Arial" w:hAnsi="Bookman Old Style" w:cs="Calibri"/>
          <w:sz w:val="20"/>
          <w:szCs w:val="20"/>
        </w:rPr>
        <w:t>±</w:t>
      </w:r>
      <w:r w:rsidRPr="00987B58">
        <w:rPr>
          <w:rFonts w:ascii="Bookman Old Style" w:eastAsia="Arial" w:hAnsi="Bookman Old Style" w:cs="Arial"/>
          <w:sz w:val="20"/>
          <w:szCs w:val="20"/>
        </w:rPr>
        <w:t>10% (barevné osvětlení);</w:t>
      </w:r>
    </w:p>
    <w:p w:rsidR="001D5A0E" w:rsidRPr="00987B58" w:rsidRDefault="001D5A0E" w:rsidP="003F48D3">
      <w:pPr>
        <w:pStyle w:val="Odstavecseseznamem"/>
        <w:numPr>
          <w:ilvl w:val="0"/>
          <w:numId w:val="4"/>
        </w:numPr>
        <w:spacing w:after="0" w:line="240" w:lineRule="auto"/>
        <w:jc w:val="both"/>
        <w:rPr>
          <w:rFonts w:ascii="Bookman Old Style" w:eastAsia="Arial" w:hAnsi="Bookman Old Style" w:cs="Arial"/>
          <w:sz w:val="20"/>
          <w:szCs w:val="20"/>
        </w:rPr>
      </w:pPr>
      <w:r w:rsidRPr="00987B58">
        <w:rPr>
          <w:rFonts w:ascii="Bookman Old Style" w:eastAsia="Arial" w:hAnsi="Bookman Old Style" w:cs="Arial"/>
          <w:sz w:val="20"/>
          <w:szCs w:val="20"/>
        </w:rPr>
        <w:t xml:space="preserve">minimální index podání barev </w:t>
      </w:r>
      <w:r w:rsidRPr="00987B58">
        <w:rPr>
          <w:rFonts w:ascii="Bookman Old Style" w:eastAsia="Arial" w:hAnsi="Bookman Old Style" w:cs="Times New Roman"/>
          <w:i/>
          <w:sz w:val="20"/>
          <w:szCs w:val="20"/>
        </w:rPr>
        <w:t>R</w:t>
      </w:r>
      <w:r w:rsidRPr="00987B58">
        <w:rPr>
          <w:rFonts w:ascii="Bookman Old Style" w:eastAsia="Arial" w:hAnsi="Bookman Old Style" w:cs="Arial"/>
          <w:sz w:val="20"/>
          <w:szCs w:val="20"/>
          <w:vertAlign w:val="subscript"/>
        </w:rPr>
        <w:t xml:space="preserve">a,min </w:t>
      </w:r>
      <w:r w:rsidRPr="00987B58">
        <w:rPr>
          <w:rFonts w:ascii="Bookman Old Style" w:eastAsia="Arial" w:hAnsi="Bookman Old Style" w:cs="Arial"/>
          <w:sz w:val="20"/>
          <w:szCs w:val="20"/>
        </w:rPr>
        <w:t>(-) (u bílého osvětlení);</w:t>
      </w:r>
    </w:p>
    <w:p w:rsidR="001D5A0E"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Součástí architekturního osvětlení bude stanovení provozního režimu u každého objektu. Součástí architektonicko-urbanistického řešení bude stanovení rozsahu vánočního osvětlení a bude navržena jeho podoba a umístění. U pozemních komunikací bude uvedena informace o tom, zda je či není uvažováno s instalací vánočního osvětlení</w:t>
      </w:r>
      <w:r w:rsidR="001D5A0E"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2.2 Dopravně bezpečnostní řešení</w:t>
      </w:r>
    </w:p>
    <w:p w:rsidR="001D5A0E"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V rámci dopravně bezpečnostního řešení bude jednotlivým pozemním komunikacím a</w:t>
      </w:r>
      <w:r>
        <w:rPr>
          <w:rFonts w:ascii="Bookman Old Style" w:eastAsia="Arial" w:hAnsi="Bookman Old Style" w:cs="Arial"/>
          <w:sz w:val="20"/>
          <w:szCs w:val="20"/>
        </w:rPr>
        <w:t> </w:t>
      </w:r>
      <w:r w:rsidRPr="000D7BD0">
        <w:rPr>
          <w:rFonts w:ascii="Bookman Old Style" w:eastAsia="Arial" w:hAnsi="Bookman Old Style" w:cs="Arial"/>
          <w:sz w:val="20"/>
          <w:szCs w:val="20"/>
        </w:rPr>
        <w:t>vybraným konfliktním oblastem (křižovatky přechody pro chodce apod.) přiřazeny podle jejich parametrů třídy osvětlení (M, P, C). U veřejných prostranství většího kulturního a</w:t>
      </w:r>
      <w:r>
        <w:rPr>
          <w:rFonts w:ascii="Bookman Old Style" w:eastAsia="Arial" w:hAnsi="Bookman Old Style" w:cs="Arial"/>
          <w:sz w:val="20"/>
          <w:szCs w:val="20"/>
        </w:rPr>
        <w:t> </w:t>
      </w:r>
      <w:r w:rsidRPr="000D7BD0">
        <w:rPr>
          <w:rFonts w:ascii="Bookman Old Style" w:eastAsia="Arial" w:hAnsi="Bookman Old Style" w:cs="Arial"/>
          <w:sz w:val="20"/>
          <w:szCs w:val="20"/>
        </w:rPr>
        <w:t>společenského významu a u oblastí se zvýšeným výskytem kriminality doplní parametry osvětlení o parametry související s prosvětlení prostoru a osvětlením vertikální rovin. U</w:t>
      </w:r>
      <w:r>
        <w:rPr>
          <w:rFonts w:ascii="Bookman Old Style" w:eastAsia="Arial" w:hAnsi="Bookman Old Style" w:cs="Arial"/>
          <w:sz w:val="20"/>
          <w:szCs w:val="20"/>
        </w:rPr>
        <w:t> </w:t>
      </w:r>
      <w:r w:rsidRPr="000D7BD0">
        <w:rPr>
          <w:rFonts w:ascii="Bookman Old Style" w:eastAsia="Arial" w:hAnsi="Bookman Old Style" w:cs="Arial"/>
          <w:sz w:val="20"/>
          <w:szCs w:val="20"/>
        </w:rPr>
        <w:t>prostranství s požadovanou vyšší kvalitou osvětlení z pohledu omezení oslnění (prostranství většího kulturního nebo společenského významu apod.) se pro svítidla určí třídy clonění svítidel G (G1 až G6), přičemž kvalitního clonění se dosahuje při použití svítidel s třídou clonění G4 až G6. Podle charakteru změn parametrů určujících zatřídění pozemních komunikací se určí charakteristické provozní režimy. Na základě maximální výšky světelných míst, typu příčného řezu a požadovaných světelně technických parametrů se navrhnou charakteristické moduly specifikující geometrické uspořádání osvětlovací soustavy. Moduly je třeba navrhovat tak, aby zbytečně neomezovaly možný výběr svítidel (například tím, že se budou definovat extrémně velké rozteče vyhovující pro omezený počet svítidel). Moduly musí být navrženy také tak, aby umožňoval</w:t>
      </w:r>
      <w:r w:rsidR="00E7729D">
        <w:rPr>
          <w:rFonts w:ascii="Bookman Old Style" w:eastAsia="Arial" w:hAnsi="Bookman Old Style" w:cs="Arial"/>
          <w:sz w:val="20"/>
          <w:szCs w:val="20"/>
        </w:rPr>
        <w:t>y</w:t>
      </w:r>
      <w:r w:rsidRPr="000D7BD0">
        <w:rPr>
          <w:rFonts w:ascii="Bookman Old Style" w:eastAsia="Arial" w:hAnsi="Bookman Old Style" w:cs="Arial"/>
          <w:sz w:val="20"/>
          <w:szCs w:val="20"/>
        </w:rPr>
        <w:t xml:space="preserve"> určitý rozsah vyložení svítidel od vozovky. Do databázového systému se doplní údaje o typu modulu osvětlovací soustavy (charakterizovaného výškou a roztečí světelných míst), o třídě osvětlení, příslušné požadované parametry osvětlení a případné požadavky na clonění svítidel (třída oslnění G). Jednotlivým komunikacím se dále přiřadí charakteristické provozní režimy</w:t>
      </w:r>
      <w:r w:rsidR="001D5A0E" w:rsidRPr="00987B58">
        <w:rPr>
          <w:rFonts w:ascii="Bookman Old Style" w:eastAsia="Arial" w:hAnsi="Bookman Old Style" w:cs="Arial"/>
          <w:sz w:val="20"/>
          <w:szCs w:val="20"/>
        </w:rPr>
        <w:t xml:space="preserve">. </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A.2.3 Environmentální řešení</w:t>
      </w:r>
    </w:p>
    <w:p w:rsidR="001D5A0E"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Na základě specifikace oblastí s potenciálním rušivým dopadem veřejného a architekturního osvětlení, budou tyto oblasti podle citlivosti zařazeny do zón životního prostředí (dle ČSN EN 12464-1) s příslušnými kontrolovanými parametry osvětlení. V rámci environmentálního řešení bude navržena hodina začátku nočního klidu. Do databázového systému se doplní údaje o environmentální zóně a příslušné požadavky na parametry osvětlení případně požadavky na svítidla (podíl světelného toku do horního poloprostoru ULR</w:t>
      </w:r>
      <w:r w:rsidR="001D5A0E" w:rsidRPr="00987B58">
        <w:rPr>
          <w:rFonts w:ascii="Bookman Old Style" w:eastAsia="Arial" w:hAnsi="Bookman Old Style" w:cs="Arial"/>
          <w:sz w:val="20"/>
          <w:szCs w:val="20"/>
        </w:rPr>
        <w:t xml:space="preserve">).  </w:t>
      </w:r>
    </w:p>
    <w:p w:rsidR="001D5A0E" w:rsidRPr="00987B58" w:rsidRDefault="001D5A0E" w:rsidP="00987B58">
      <w:pPr>
        <w:spacing w:before="120" w:after="0" w:line="240" w:lineRule="auto"/>
        <w:jc w:val="both"/>
        <w:rPr>
          <w:rFonts w:ascii="Bookman Old Style" w:eastAsia="Arial" w:hAnsi="Bookman Old Style" w:cs="Arial"/>
          <w:sz w:val="20"/>
          <w:szCs w:val="20"/>
          <w:u w:val="single"/>
        </w:rPr>
      </w:pPr>
      <w:r w:rsidRPr="00987B58">
        <w:rPr>
          <w:rFonts w:ascii="Bookman Old Style" w:eastAsia="Arial" w:hAnsi="Bookman Old Style" w:cs="Arial"/>
          <w:i/>
          <w:sz w:val="20"/>
          <w:szCs w:val="20"/>
          <w:u w:val="single"/>
        </w:rPr>
        <w:t>A.2.4 Provozní řešení</w:t>
      </w:r>
    </w:p>
    <w:p w:rsidR="001D5A0E"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Arial" w:hAnsi="Bookman Old Style" w:cs="Arial"/>
          <w:sz w:val="20"/>
          <w:szCs w:val="20"/>
        </w:rPr>
        <w:t>Návrh zapojení veřejného osvětlení do koncepce „Smart city“. Stanovení koncepce ovládání a</w:t>
      </w:r>
      <w:r>
        <w:rPr>
          <w:rFonts w:ascii="Bookman Old Style" w:eastAsia="Arial" w:hAnsi="Bookman Old Style" w:cs="Arial"/>
          <w:sz w:val="20"/>
          <w:szCs w:val="20"/>
        </w:rPr>
        <w:t> </w:t>
      </w:r>
      <w:r w:rsidRPr="000D7BD0">
        <w:rPr>
          <w:rFonts w:ascii="Bookman Old Style" w:eastAsia="Arial" w:hAnsi="Bookman Old Style" w:cs="Arial"/>
          <w:sz w:val="20"/>
          <w:szCs w:val="20"/>
        </w:rPr>
        <w:t>řízení pro jednotlivé části veřejného a architekturního osvětlení. Na základě informací o</w:t>
      </w:r>
      <w:r>
        <w:rPr>
          <w:rFonts w:ascii="Bookman Old Style" w:eastAsia="Arial" w:hAnsi="Bookman Old Style" w:cs="Arial"/>
          <w:sz w:val="20"/>
          <w:szCs w:val="20"/>
        </w:rPr>
        <w:t> </w:t>
      </w:r>
      <w:r w:rsidRPr="000D7BD0">
        <w:rPr>
          <w:rFonts w:ascii="Bookman Old Style" w:eastAsia="Arial" w:hAnsi="Bookman Old Style" w:cs="Arial"/>
          <w:sz w:val="20"/>
          <w:szCs w:val="20"/>
        </w:rPr>
        <w:t>využití nosných konstrukcí veřejného osvětlení a důležitosti veřejných prostranství z</w:t>
      </w:r>
      <w:r>
        <w:rPr>
          <w:rFonts w:ascii="Bookman Old Style" w:eastAsia="Arial" w:hAnsi="Bookman Old Style" w:cs="Arial"/>
          <w:sz w:val="20"/>
          <w:szCs w:val="20"/>
        </w:rPr>
        <w:t> </w:t>
      </w:r>
      <w:r w:rsidRPr="000D7BD0">
        <w:rPr>
          <w:rFonts w:ascii="Bookman Old Style" w:eastAsia="Arial" w:hAnsi="Bookman Old Style" w:cs="Arial"/>
          <w:sz w:val="20"/>
          <w:szCs w:val="20"/>
        </w:rPr>
        <w:t>pohledu bezpečnosti nosných konstrukcí, přiřazení mechanických parametrů nosných konstrukcí k jednotlivým komunikacím</w:t>
      </w:r>
      <w:r w:rsidR="001D5A0E" w:rsidRPr="00987B58">
        <w:rPr>
          <w:rFonts w:ascii="Bookman Old Style" w:eastAsia="Arial" w:hAnsi="Bookman Old Style" w:cs="Arial"/>
          <w:sz w:val="20"/>
          <w:szCs w:val="20"/>
        </w:rPr>
        <w:t xml:space="preserve">. </w:t>
      </w:r>
    </w:p>
    <w:p w:rsidR="00117AD2" w:rsidRPr="00987B58" w:rsidRDefault="00117AD2" w:rsidP="00987B58">
      <w:pPr>
        <w:spacing w:before="120" w:after="0" w:line="240" w:lineRule="auto"/>
        <w:jc w:val="both"/>
        <w:rPr>
          <w:rFonts w:ascii="Bookman Old Style" w:eastAsiaTheme="minorEastAsia" w:hAnsi="Bookman Old Style" w:cs="Arial"/>
          <w:b/>
          <w:i/>
          <w:sz w:val="20"/>
          <w:szCs w:val="20"/>
        </w:rPr>
      </w:pPr>
      <w:r w:rsidRPr="00987B58">
        <w:rPr>
          <w:rFonts w:ascii="Bookman Old Style" w:eastAsia="Arial" w:hAnsi="Bookman Old Style" w:cs="Arial"/>
          <w:b/>
          <w:i/>
          <w:sz w:val="20"/>
          <w:szCs w:val="20"/>
        </w:rPr>
        <w:t>A.3 Implementační část</w:t>
      </w:r>
    </w:p>
    <w:p w:rsidR="00FF00F1" w:rsidRPr="00987B58" w:rsidRDefault="000D7BD0" w:rsidP="00987B58">
      <w:pPr>
        <w:spacing w:before="120" w:after="0" w:line="240" w:lineRule="auto"/>
        <w:jc w:val="both"/>
        <w:rPr>
          <w:rFonts w:ascii="Bookman Old Style" w:eastAsia="Arial" w:hAnsi="Bookman Old Style" w:cs="Arial"/>
          <w:sz w:val="20"/>
          <w:szCs w:val="20"/>
        </w:rPr>
      </w:pPr>
      <w:r w:rsidRPr="000D7BD0">
        <w:rPr>
          <w:rFonts w:ascii="Bookman Old Style" w:eastAsiaTheme="minorEastAsia" w:hAnsi="Bookman Old Style" w:cs="Arial"/>
          <w:sz w:val="20"/>
          <w:szCs w:val="20"/>
        </w:rPr>
        <w:t>Tato část stanoví princip informování relevantních subjektů (např. zastupitelstvo města, zaměstnance úřadu, veřejnost) o základním plánu VO (prostřednictvím seminářů, školení, popř. jiným vhodným způsobem). Cílem je stanovit nejvhodnější způsob informování cílových skupin, aby mohlo docházet k efektivním opatřením, která budou ku prospěchu celému městu</w:t>
      </w:r>
      <w:r w:rsidR="000B1E5C" w:rsidRPr="00987B58">
        <w:rPr>
          <w:rFonts w:ascii="Bookman Old Style"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b/>
          <w:i/>
          <w:sz w:val="20"/>
          <w:szCs w:val="20"/>
        </w:rPr>
      </w:pPr>
      <w:r w:rsidRPr="00987B58">
        <w:rPr>
          <w:rFonts w:ascii="Bookman Old Style" w:eastAsia="Arial" w:hAnsi="Bookman Old Style" w:cs="Arial"/>
          <w:b/>
          <w:i/>
          <w:sz w:val="20"/>
          <w:szCs w:val="20"/>
        </w:rPr>
        <w:t>A.</w:t>
      </w:r>
      <w:r w:rsidR="00117AD2" w:rsidRPr="00987B58">
        <w:rPr>
          <w:rFonts w:ascii="Bookman Old Style" w:eastAsia="Arial" w:hAnsi="Bookman Old Style" w:cs="Arial"/>
          <w:b/>
          <w:i/>
          <w:sz w:val="20"/>
          <w:szCs w:val="20"/>
        </w:rPr>
        <w:t>4</w:t>
      </w:r>
      <w:r w:rsidRPr="00987B58">
        <w:rPr>
          <w:rFonts w:ascii="Bookman Old Style" w:eastAsia="Arial" w:hAnsi="Bookman Old Style" w:cs="Arial"/>
          <w:b/>
          <w:i/>
          <w:sz w:val="20"/>
          <w:szCs w:val="20"/>
        </w:rPr>
        <w:t xml:space="preserve"> Výstup</w:t>
      </w:r>
    </w:p>
    <w:p w:rsidR="00840C07" w:rsidRPr="00840C07" w:rsidRDefault="00840C07" w:rsidP="00840C07">
      <w:pPr>
        <w:spacing w:before="120"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 xml:space="preserve">Výstup „Základního plánu veřejného osvětlení“ bude mít </w:t>
      </w:r>
      <w:r w:rsidR="00F3497B">
        <w:rPr>
          <w:rFonts w:ascii="Bookman Old Style" w:eastAsia="Arial" w:hAnsi="Bookman Old Style" w:cs="Arial"/>
          <w:sz w:val="20"/>
          <w:szCs w:val="20"/>
        </w:rPr>
        <w:t xml:space="preserve">dokumentovou, </w:t>
      </w:r>
      <w:r w:rsidRPr="00840C07">
        <w:rPr>
          <w:rFonts w:ascii="Bookman Old Style" w:eastAsia="Arial" w:hAnsi="Bookman Old Style" w:cs="Arial"/>
          <w:sz w:val="20"/>
          <w:szCs w:val="20"/>
        </w:rPr>
        <w:t>databázovou, mapovou a grafickou část. Město požaduje zpracovat výstup v následujících formátech:</w:t>
      </w:r>
    </w:p>
    <w:p w:rsidR="00F3497B"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F3497B">
        <w:rPr>
          <w:rFonts w:ascii="Bookman Old Style" w:eastAsia="Arial" w:hAnsi="Bookman Old Style" w:cs="Arial"/>
          <w:sz w:val="20"/>
          <w:szCs w:val="20"/>
        </w:rPr>
        <w:t>dokumentová část - *.pdf</w:t>
      </w:r>
    </w:p>
    <w:p w:rsidR="00840C07" w:rsidRPr="00840C07" w:rsidRDefault="00F3497B"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840C07" w:rsidRPr="00840C07">
        <w:rPr>
          <w:rFonts w:ascii="Bookman Old Style" w:eastAsia="Arial" w:hAnsi="Bookman Old Style" w:cs="Arial"/>
          <w:sz w:val="20"/>
          <w:szCs w:val="20"/>
        </w:rPr>
        <w:t>databázová část – *.xls, *.dbf nebo *.csv</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 xml:space="preserve">mapová část – *.shp </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grafická část – *.jpg</w:t>
      </w:r>
    </w:p>
    <w:p w:rsidR="004722FB" w:rsidRDefault="004722FB" w:rsidP="00840C07">
      <w:pPr>
        <w:spacing w:before="120" w:after="0" w:line="240" w:lineRule="auto"/>
        <w:jc w:val="both"/>
        <w:rPr>
          <w:rFonts w:ascii="Bookman Old Style" w:eastAsia="Arial" w:hAnsi="Bookman Old Style" w:cs="Arial"/>
          <w:sz w:val="20"/>
          <w:szCs w:val="20"/>
        </w:rPr>
      </w:pPr>
      <w:r>
        <w:rPr>
          <w:rFonts w:ascii="Bookman Old Style" w:eastAsia="Arial" w:hAnsi="Bookman Old Style" w:cs="Arial"/>
          <w:sz w:val="20"/>
          <w:szCs w:val="20"/>
        </w:rPr>
        <w:t>V dokumentační části bude zpracována provozní analýza v souladu s odst. A.1.4 Provozní analýza</w:t>
      </w:r>
      <w:r w:rsidR="00E61FD6">
        <w:rPr>
          <w:rFonts w:ascii="Bookman Old Style" w:eastAsia="Arial" w:hAnsi="Bookman Old Style" w:cs="Arial"/>
          <w:sz w:val="20"/>
          <w:szCs w:val="20"/>
        </w:rPr>
        <w:t xml:space="preserve"> </w:t>
      </w:r>
      <w:r>
        <w:rPr>
          <w:rFonts w:ascii="Bookman Old Style" w:eastAsia="Arial" w:hAnsi="Bookman Old Style" w:cs="Arial"/>
          <w:sz w:val="20"/>
          <w:szCs w:val="20"/>
        </w:rPr>
        <w:t>.</w:t>
      </w:r>
    </w:p>
    <w:p w:rsidR="00840C07" w:rsidRDefault="00840C07" w:rsidP="00840C07">
      <w:pPr>
        <w:spacing w:before="120"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V databázi bude seznam pozemních komunikací a veřejných prostranství s požadovanými parametry veřejného osvětlení a seznam objektů, staveb a přírodních prvků s požadovanými parametry architekturního osvětlení v souladu s uvedenými požadavky na dopracování Koncepce veřejného osvětlení v</w:t>
      </w:r>
      <w:r w:rsidR="00A95A7A">
        <w:rPr>
          <w:rFonts w:ascii="Bookman Old Style" w:eastAsia="Arial" w:hAnsi="Bookman Old Style" w:cs="Arial"/>
          <w:sz w:val="20"/>
          <w:szCs w:val="20"/>
        </w:rPr>
        <w:t> </w:t>
      </w:r>
      <w:r w:rsidRPr="00840C07">
        <w:rPr>
          <w:rFonts w:ascii="Bookman Old Style" w:eastAsia="Arial" w:hAnsi="Bookman Old Style" w:cs="Arial"/>
          <w:sz w:val="20"/>
          <w:szCs w:val="20"/>
        </w:rPr>
        <w:t>část</w:t>
      </w:r>
      <w:r w:rsidR="00A95A7A">
        <w:rPr>
          <w:rFonts w:ascii="Bookman Old Style" w:eastAsia="Arial" w:hAnsi="Bookman Old Style" w:cs="Arial"/>
          <w:sz w:val="20"/>
          <w:szCs w:val="20"/>
        </w:rPr>
        <w:t>ech A.1 Analytická část a</w:t>
      </w:r>
      <w:r w:rsidRPr="00840C07">
        <w:rPr>
          <w:rFonts w:ascii="Bookman Old Style" w:eastAsia="Arial" w:hAnsi="Bookman Old Style" w:cs="Arial"/>
          <w:sz w:val="20"/>
          <w:szCs w:val="20"/>
        </w:rPr>
        <w:t xml:space="preserve"> A.2 Návrhová část a to konkrétně: </w:t>
      </w:r>
    </w:p>
    <w:p w:rsidR="00840C07" w:rsidRPr="00840C07" w:rsidRDefault="00840C07" w:rsidP="00840C07">
      <w:pPr>
        <w:spacing w:before="120" w:after="0" w:line="240" w:lineRule="auto"/>
        <w:jc w:val="both"/>
        <w:rPr>
          <w:rFonts w:ascii="Bookman Old Style" w:eastAsia="Arial" w:hAnsi="Bookman Old Style" w:cs="Arial"/>
          <w:b/>
          <w:sz w:val="20"/>
          <w:szCs w:val="20"/>
        </w:rPr>
      </w:pPr>
      <w:r w:rsidRPr="00840C07">
        <w:rPr>
          <w:rFonts w:ascii="Bookman Old Style" w:eastAsia="Arial" w:hAnsi="Bookman Old Style" w:cs="Arial"/>
          <w:b/>
          <w:sz w:val="20"/>
          <w:szCs w:val="20"/>
        </w:rPr>
        <w:t>Veřejné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číslo úseku pozemní komunikace</w:t>
      </w:r>
    </w:p>
    <w:p w:rsid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název pozemní komunikace</w:t>
      </w:r>
    </w:p>
    <w:p w:rsidR="008C6443" w:rsidRDefault="008C6443" w:rsidP="008C6443">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Pr>
          <w:rFonts w:ascii="Bookman Old Style" w:eastAsia="Arial" w:hAnsi="Bookman Old Style" w:cs="Arial"/>
          <w:sz w:val="20"/>
          <w:szCs w:val="20"/>
        </w:rPr>
        <w:t>tříd pozemní komunikace</w:t>
      </w:r>
    </w:p>
    <w:p w:rsidR="00955A38" w:rsidRDefault="00337842" w:rsidP="00337842">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955A38">
        <w:rPr>
          <w:rFonts w:ascii="Bookman Old Style" w:eastAsia="Arial" w:hAnsi="Bookman Old Style" w:cs="Arial"/>
          <w:sz w:val="20"/>
          <w:szCs w:val="20"/>
        </w:rPr>
        <w:t>délka úseku</w:t>
      </w:r>
    </w:p>
    <w:p w:rsidR="00337842" w:rsidRDefault="00337842" w:rsidP="00337842">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955A38">
        <w:rPr>
          <w:rFonts w:ascii="Bookman Old Style" w:eastAsia="Arial" w:hAnsi="Bookman Old Style" w:cs="Arial"/>
          <w:sz w:val="20"/>
          <w:szCs w:val="20"/>
        </w:rPr>
        <w:t>šířka úseku</w:t>
      </w:r>
    </w:p>
    <w:p w:rsidR="00337842" w:rsidRDefault="00337842" w:rsidP="00337842">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955A38">
        <w:rPr>
          <w:rFonts w:ascii="Bookman Old Style" w:eastAsia="Arial" w:hAnsi="Bookman Old Style" w:cs="Arial"/>
          <w:sz w:val="20"/>
          <w:szCs w:val="20"/>
        </w:rPr>
        <w:t>typ příčného řezu</w:t>
      </w:r>
    </w:p>
    <w:p w:rsidR="00955A38" w:rsidRDefault="00955A38" w:rsidP="00955A38">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Pr>
          <w:rFonts w:ascii="Bookman Old Style" w:eastAsia="Arial" w:hAnsi="Bookman Old Style" w:cs="Arial"/>
          <w:sz w:val="20"/>
          <w:szCs w:val="20"/>
        </w:rPr>
        <w:t>denní intenzity dopravy</w:t>
      </w:r>
    </w:p>
    <w:p w:rsidR="0062798B" w:rsidRDefault="0062798B" w:rsidP="0062798B">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Pr>
          <w:rFonts w:ascii="Bookman Old Style" w:eastAsia="Arial" w:hAnsi="Bookman Old Style" w:cs="Arial"/>
          <w:sz w:val="20"/>
          <w:szCs w:val="20"/>
        </w:rPr>
        <w:t>počet přechodů pro chodce</w:t>
      </w:r>
    </w:p>
    <w:p w:rsidR="00A95A7A" w:rsidRDefault="00A95A7A" w:rsidP="00A95A7A">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Pr>
          <w:rFonts w:ascii="Bookman Old Style" w:eastAsia="Arial" w:hAnsi="Bookman Old Style" w:cs="Arial"/>
          <w:sz w:val="20"/>
          <w:szCs w:val="20"/>
        </w:rPr>
        <w:t>typologie přechodu pro chodce</w:t>
      </w:r>
    </w:p>
    <w:p w:rsidR="00C027BF" w:rsidRDefault="00C027BF" w:rsidP="00A95A7A">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F3497B">
        <w:rPr>
          <w:rFonts w:ascii="Bookman Old Style" w:eastAsia="Arial" w:hAnsi="Bookman Old Style" w:cs="Arial"/>
          <w:sz w:val="20"/>
          <w:szCs w:val="20"/>
        </w:rPr>
        <w:t>specifikace typu rušivého dopadu VO</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charakteristická zóna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teplota chromatičnosti Tcp (K) s tolerancí ±10%;</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minimální index podání barev Ra,min (-);</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charakter osvětlení (osvětlení komunikací nebo osvětlení prostoru);</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časový harmonogram regulace veřejného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maximální výška světelných míst Hmax (m);</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typologie svítidel veřejného osvětlení (technické, historizující, parkové, designové);</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materiál nosných konstrukcí;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mechanické parametry nosných konstrukcí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povrchová úprava nosných konstrukcí, příp. barva;</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třída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zóna životního prostředí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třída clonění svítidel veřejného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charakteristický provozní režim veřejného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existence vánočního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charakteristický modul</w:t>
      </w:r>
    </w:p>
    <w:p w:rsidR="00840C07" w:rsidRPr="00840C07" w:rsidRDefault="00840C07" w:rsidP="00840C07">
      <w:pPr>
        <w:spacing w:before="120" w:after="0" w:line="240" w:lineRule="auto"/>
        <w:jc w:val="both"/>
        <w:rPr>
          <w:rFonts w:ascii="Bookman Old Style" w:eastAsia="Arial" w:hAnsi="Bookman Old Style" w:cs="Arial"/>
          <w:b/>
          <w:sz w:val="20"/>
          <w:szCs w:val="20"/>
        </w:rPr>
      </w:pPr>
      <w:r w:rsidRPr="00840C07">
        <w:rPr>
          <w:rFonts w:ascii="Bookman Old Style" w:eastAsia="Arial" w:hAnsi="Bookman Old Style" w:cs="Arial"/>
          <w:b/>
          <w:sz w:val="20"/>
          <w:szCs w:val="20"/>
        </w:rPr>
        <w:t>Architekturní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název objektu</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charakteristická zóna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průměrný jas Lm (cd/m2);</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 xml:space="preserve">teplota chromatičnosti Tcp (K) s tolerancí ±10% (bílé osvětlení), </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trichromatické souřadnice x, y s tolerancí ±10% (barevné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minimální index podání barev Ra,min (-) (u bílého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zóna životního prostředí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třída clonění svítidel veřejného osvětlení</w:t>
      </w:r>
    </w:p>
    <w:p w:rsidR="00840C07" w:rsidRPr="00840C07" w:rsidRDefault="00840C07" w:rsidP="00840C07">
      <w:pPr>
        <w:spacing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t>charakteristický provozní režim architekturního osvětlení</w:t>
      </w:r>
    </w:p>
    <w:p w:rsidR="00840C07" w:rsidRPr="00840C07" w:rsidRDefault="00840C07" w:rsidP="00840C07">
      <w:pPr>
        <w:spacing w:before="120" w:after="0" w:line="240" w:lineRule="auto"/>
        <w:jc w:val="both"/>
        <w:rPr>
          <w:rFonts w:ascii="Bookman Old Style" w:eastAsia="Arial" w:hAnsi="Bookman Old Style" w:cs="Arial"/>
          <w:sz w:val="20"/>
          <w:szCs w:val="20"/>
        </w:rPr>
      </w:pPr>
    </w:p>
    <w:p w:rsidR="0062798B" w:rsidRDefault="00840C07" w:rsidP="00840C07">
      <w:pPr>
        <w:spacing w:before="120"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 xml:space="preserve">V mapové části budou </w:t>
      </w:r>
      <w:r w:rsidR="0062798B">
        <w:rPr>
          <w:rFonts w:ascii="Bookman Old Style" w:eastAsia="Arial" w:hAnsi="Bookman Old Style" w:cs="Arial"/>
          <w:sz w:val="20"/>
          <w:szCs w:val="20"/>
        </w:rPr>
        <w:t>zpracovány následující výstupy:</w:t>
      </w:r>
    </w:p>
    <w:p w:rsidR="0062798B" w:rsidRPr="0062798B" w:rsidRDefault="0062798B" w:rsidP="003A5F4F">
      <w:pPr>
        <w:spacing w:after="0" w:line="240" w:lineRule="auto"/>
        <w:ind w:left="709" w:hanging="709"/>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3A5F4F">
        <w:rPr>
          <w:rFonts w:ascii="Bookman Old Style" w:eastAsia="Arial" w:hAnsi="Bookman Old Style" w:cs="Arial"/>
          <w:sz w:val="20"/>
          <w:szCs w:val="20"/>
        </w:rPr>
        <w:t>d</w:t>
      </w:r>
      <w:r w:rsidRPr="0062798B">
        <w:rPr>
          <w:rFonts w:ascii="Bookman Old Style" w:eastAsia="Arial" w:hAnsi="Bookman Old Style" w:cs="Arial"/>
          <w:sz w:val="20"/>
          <w:szCs w:val="20"/>
        </w:rPr>
        <w:t>opravně bezpečnostní analýza s rozborem dopravní nehodovosti na pozemních komunikací s uvedením úseků a uzlů se zvýšenou dopravní nehodovostí.</w:t>
      </w:r>
    </w:p>
    <w:p w:rsidR="00840C07" w:rsidRPr="0062798B" w:rsidRDefault="0062798B" w:rsidP="003A5F4F">
      <w:pPr>
        <w:spacing w:after="0" w:line="240" w:lineRule="auto"/>
        <w:ind w:left="709" w:hanging="709"/>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840C07" w:rsidRPr="0062798B">
        <w:rPr>
          <w:rFonts w:ascii="Bookman Old Style" w:eastAsia="Arial" w:hAnsi="Bookman Old Style" w:cs="Arial"/>
          <w:sz w:val="20"/>
          <w:szCs w:val="20"/>
        </w:rPr>
        <w:t xml:space="preserve">charakteristické zóny související s architektonicko-urbanistickými hledisky, třídy osvětlení a zóny životního prostředí. </w:t>
      </w:r>
    </w:p>
    <w:p w:rsidR="00840C07" w:rsidRPr="00987B58" w:rsidRDefault="00840C07" w:rsidP="00840C07">
      <w:pPr>
        <w:spacing w:before="120" w:after="0" w:line="240" w:lineRule="auto"/>
        <w:jc w:val="both"/>
        <w:rPr>
          <w:rFonts w:ascii="Bookman Old Style" w:eastAsia="Arial" w:hAnsi="Bookman Old Style" w:cs="Arial"/>
          <w:sz w:val="20"/>
          <w:szCs w:val="20"/>
        </w:rPr>
      </w:pPr>
      <w:r w:rsidRPr="00840C07">
        <w:rPr>
          <w:rFonts w:ascii="Bookman Old Style" w:eastAsia="Arial" w:hAnsi="Bookman Old Style" w:cs="Arial"/>
          <w:sz w:val="20"/>
          <w:szCs w:val="20"/>
        </w:rPr>
        <w:t>V grafické části budou zobrazeny objekty, stavby a přírodní prvky s architekturním osvětlením s vyznačením osvětlovaných ploch, jejich identifikací a přiřazení požadovaných parametrů osvětlení.</w:t>
      </w:r>
    </w:p>
    <w:p w:rsidR="00453F7D" w:rsidRPr="00987B58" w:rsidRDefault="00453F7D" w:rsidP="00987B58">
      <w:pPr>
        <w:tabs>
          <w:tab w:val="left" w:pos="567"/>
          <w:tab w:val="left" w:pos="1134"/>
          <w:tab w:val="left" w:pos="1418"/>
          <w:tab w:val="left" w:pos="1701"/>
        </w:tabs>
        <w:autoSpaceDE w:val="0"/>
        <w:autoSpaceDN w:val="0"/>
        <w:adjustRightInd w:val="0"/>
        <w:spacing w:before="120" w:after="0" w:line="240" w:lineRule="auto"/>
        <w:jc w:val="both"/>
        <w:rPr>
          <w:rFonts w:ascii="Bookman Old Style" w:eastAsia="Arial" w:hAnsi="Bookman Old Style" w:cs="Arial"/>
          <w:sz w:val="20"/>
          <w:szCs w:val="20"/>
        </w:rPr>
      </w:pPr>
    </w:p>
    <w:p w:rsidR="001D5A0E" w:rsidRPr="00987B58" w:rsidRDefault="001D5A0E" w:rsidP="00987B58">
      <w:pPr>
        <w:spacing w:before="120" w:after="0" w:line="240" w:lineRule="auto"/>
        <w:jc w:val="both"/>
        <w:rPr>
          <w:rFonts w:ascii="Bookman Old Style" w:eastAsia="Arial" w:hAnsi="Bookman Old Style" w:cs="Arial"/>
          <w:b/>
          <w:bCs/>
          <w:i/>
          <w:iCs/>
          <w:sz w:val="20"/>
          <w:szCs w:val="20"/>
        </w:rPr>
      </w:pPr>
      <w:r w:rsidRPr="00987B58">
        <w:rPr>
          <w:rFonts w:ascii="Bookman Old Style" w:eastAsia="Arial" w:hAnsi="Bookman Old Style" w:cs="Arial"/>
          <w:b/>
          <w:bCs/>
          <w:i/>
          <w:iCs/>
          <w:sz w:val="20"/>
          <w:szCs w:val="20"/>
        </w:rPr>
        <w:t xml:space="preserve">B. PLÁN OBNOVY A MODERNIZACE VEŘEJNÉHO OSVĚTLENÍ </w:t>
      </w:r>
    </w:p>
    <w:p w:rsidR="001D5A0E" w:rsidRPr="00987B58" w:rsidRDefault="007D045D" w:rsidP="00987B58">
      <w:pPr>
        <w:spacing w:before="120" w:after="0" w:line="240" w:lineRule="auto"/>
        <w:jc w:val="both"/>
        <w:rPr>
          <w:rFonts w:ascii="Bookman Old Style" w:eastAsia="Arial" w:hAnsi="Bookman Old Style" w:cs="Arial"/>
          <w:sz w:val="20"/>
          <w:szCs w:val="20"/>
        </w:rPr>
      </w:pPr>
      <w:r w:rsidRPr="007D045D">
        <w:rPr>
          <w:rFonts w:ascii="Bookman Old Style" w:eastAsia="Arial" w:hAnsi="Bookman Old Style" w:cs="Arial"/>
          <w:sz w:val="20"/>
          <w:szCs w:val="20"/>
        </w:rPr>
        <w:t>Plán obnovy je technicko - ekonomickou studií, která slouží jako nástroj pro finanční plánování města v oblasti veřejného osvětlení. Specifikuje soubor prvků veřejného osvětlení, který je třeba pravidelně obnovovat, stanovuje odhad ročních nákladů na obnovu VO a</w:t>
      </w:r>
      <w:r w:rsidR="000D7BD0">
        <w:rPr>
          <w:rFonts w:ascii="Bookman Old Style" w:eastAsia="Arial" w:hAnsi="Bookman Old Style" w:cs="Arial"/>
          <w:sz w:val="20"/>
          <w:szCs w:val="20"/>
        </w:rPr>
        <w:t> </w:t>
      </w:r>
      <w:r w:rsidRPr="007D045D">
        <w:rPr>
          <w:rFonts w:ascii="Bookman Old Style" w:eastAsia="Arial" w:hAnsi="Bookman Old Style" w:cs="Arial"/>
          <w:sz w:val="20"/>
          <w:szCs w:val="20"/>
        </w:rPr>
        <w:t>navrhuje harmonogram obnovy a modernizace VO. Na základě analýzy současného technického stavu veřejného osvětlení a vývojových trendů navrhuje modernizační opatření a harmonogram pro jejich zavedení. Dokument bude členěn na analytickou a návrhovou část v následující struktuře</w:t>
      </w:r>
      <w:r w:rsidR="001D5A0E" w:rsidRPr="00987B58">
        <w:rPr>
          <w:rFonts w:ascii="Bookman Old Style" w:eastAsia="Arial" w:hAnsi="Bookman Old Style" w:cs="Arial"/>
          <w:sz w:val="20"/>
          <w:szCs w:val="20"/>
        </w:rPr>
        <w:t>:</w:t>
      </w:r>
    </w:p>
    <w:p w:rsidR="006B270F" w:rsidRPr="00987B58" w:rsidRDefault="006B270F">
      <w:pPr>
        <w:rPr>
          <w:rFonts w:ascii="Bookman Old Style" w:eastAsia="Arial" w:hAnsi="Bookman Old Style" w:cs="Arial"/>
          <w:b/>
          <w:i/>
          <w:sz w:val="20"/>
          <w:szCs w:val="20"/>
        </w:rPr>
      </w:pPr>
    </w:p>
    <w:p w:rsidR="001D5A0E" w:rsidRPr="00987B58" w:rsidRDefault="001D5A0E" w:rsidP="001D5A0E">
      <w:pPr>
        <w:spacing w:after="0" w:line="240" w:lineRule="auto"/>
        <w:jc w:val="both"/>
        <w:rPr>
          <w:rFonts w:ascii="Bookman Old Style" w:eastAsiaTheme="minorEastAsia" w:hAnsi="Bookman Old Style"/>
          <w:b/>
          <w:i/>
          <w:sz w:val="20"/>
          <w:szCs w:val="20"/>
        </w:rPr>
      </w:pPr>
      <w:r w:rsidRPr="00987B58">
        <w:rPr>
          <w:rFonts w:ascii="Bookman Old Style" w:eastAsia="Arial" w:hAnsi="Bookman Old Style" w:cs="Arial"/>
          <w:b/>
          <w:i/>
          <w:sz w:val="20"/>
          <w:szCs w:val="20"/>
        </w:rPr>
        <w:t>B.1 Analytická část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1.1 Analýza fyzického stavu a stáří soustavy veřejného osvětlení</w:t>
      </w:r>
    </w:p>
    <w:p w:rsidR="001D5A0E" w:rsidRPr="00987B58" w:rsidRDefault="007D045D" w:rsidP="00987B58">
      <w:pPr>
        <w:spacing w:before="120" w:after="0" w:line="240" w:lineRule="auto"/>
        <w:jc w:val="both"/>
        <w:rPr>
          <w:rFonts w:ascii="Bookman Old Style" w:eastAsia="Arial" w:hAnsi="Bookman Old Style" w:cs="Arial"/>
          <w:sz w:val="20"/>
          <w:szCs w:val="20"/>
        </w:rPr>
      </w:pPr>
      <w:r w:rsidRPr="007D045D">
        <w:rPr>
          <w:rFonts w:ascii="Bookman Old Style" w:eastAsia="Arial" w:hAnsi="Bookman Old Style" w:cs="Arial"/>
          <w:sz w:val="20"/>
          <w:szCs w:val="20"/>
        </w:rPr>
        <w:t>Obsahem této části analýzy je v první řadě provedení aktualizace databázové a mapové části pasportu veřejného osvětlení (aktualizace databázové části bude požadována v rozsahu základních informací: název ulice, číslo rozváděče VO, platnost revizí a dalších prohlídek preventivní údržby; dále aktualizace typů použitých konstrukčních prvků každého zařízení VO v rozsahu: napájecí kabel, svorkovnice ve stožáru, stožár a jeho výška, patice stožáru, nástavec a jeho délka, výložník vč. délky vyložení, svítidlo a jeho příkon; dále aktualizace typu a případného příkonu připojených či zavěšených dalších zařízení pro možnost provádění komplexního energetického managementu; aktualizace mapové části bude požadována v rozsahu zpracování pokladů pro aktualizaci umístění zařízení VO a</w:t>
      </w:r>
      <w:r w:rsidR="00DF32A5">
        <w:rPr>
          <w:rFonts w:ascii="Bookman Old Style" w:eastAsia="Arial" w:hAnsi="Bookman Old Style" w:cs="Arial"/>
          <w:sz w:val="20"/>
          <w:szCs w:val="20"/>
        </w:rPr>
        <w:t> </w:t>
      </w:r>
      <w:r w:rsidRPr="007D045D">
        <w:rPr>
          <w:rFonts w:ascii="Bookman Old Style" w:eastAsia="Arial" w:hAnsi="Bookman Old Style" w:cs="Arial"/>
          <w:sz w:val="20"/>
          <w:szCs w:val="20"/>
        </w:rPr>
        <w:t>skutečného průběhu kabelové sítě VO včetně zajištění aktualizace mapové části ve spolupráci s dodavatelem informačního systému) a rozbor takto aktualizovaných informací z</w:t>
      </w:r>
      <w:r w:rsidR="00DF32A5">
        <w:rPr>
          <w:rFonts w:ascii="Bookman Old Style" w:eastAsia="Arial" w:hAnsi="Bookman Old Style" w:cs="Arial"/>
          <w:sz w:val="20"/>
          <w:szCs w:val="20"/>
        </w:rPr>
        <w:t> </w:t>
      </w:r>
      <w:r w:rsidRPr="007D045D">
        <w:rPr>
          <w:rFonts w:ascii="Bookman Old Style" w:eastAsia="Arial" w:hAnsi="Bookman Old Style" w:cs="Arial"/>
          <w:sz w:val="20"/>
          <w:szCs w:val="20"/>
        </w:rPr>
        <w:t>pohledu typologie osvětlovací soustavy (souhrn typů svítidel, nosných konstrukcí, zapínacích míst a jejich vybavení), stáří a aktuálního fyzického stavu veřejného osvětlení podle určených oblastí a podle pozemních komunikací. Konkrétně se jedná o zhodnocení stavu stožáru v místě vetknutí včetně mechanické kontroly stožárů Rochovou metodou u</w:t>
      </w:r>
      <w:r w:rsidR="00DF32A5">
        <w:rPr>
          <w:rFonts w:ascii="Bookman Old Style" w:eastAsia="Arial" w:hAnsi="Bookman Old Style" w:cs="Arial"/>
          <w:sz w:val="20"/>
          <w:szCs w:val="20"/>
        </w:rPr>
        <w:t> </w:t>
      </w:r>
      <w:r w:rsidRPr="007D045D">
        <w:rPr>
          <w:rFonts w:ascii="Bookman Old Style" w:eastAsia="Arial" w:hAnsi="Bookman Old Style" w:cs="Arial"/>
          <w:sz w:val="20"/>
          <w:szCs w:val="20"/>
        </w:rPr>
        <w:t>stožárů s nejkritičtějším stavem (zadavatel předpokládá kontrolu 200 ks stožárů</w:t>
      </w:r>
      <w:r>
        <w:rPr>
          <w:rFonts w:ascii="Bookman Old Style" w:eastAsia="Arial" w:hAnsi="Bookman Old Style" w:cs="Arial"/>
          <w:sz w:val="20"/>
          <w:szCs w:val="20"/>
        </w:rPr>
        <w:t>)</w:t>
      </w:r>
      <w:r w:rsidR="001D5A0E" w:rsidRPr="00987B58">
        <w:rPr>
          <w:rFonts w:ascii="Bookman Old Style" w:eastAsia="Arial" w:hAnsi="Bookman Old Style" w:cs="Arial"/>
          <w:sz w:val="20"/>
          <w:szCs w:val="20"/>
        </w:rPr>
        <w:t xml:space="preserve">. </w:t>
      </w:r>
    </w:p>
    <w:p w:rsidR="00F83DB4" w:rsidRDefault="00F83DB4">
      <w:pPr>
        <w:rPr>
          <w:rFonts w:ascii="Bookman Old Style" w:eastAsia="Arial" w:hAnsi="Bookman Old Style" w:cs="Arial"/>
          <w:i/>
          <w:sz w:val="20"/>
          <w:szCs w:val="20"/>
          <w:u w:val="single"/>
        </w:rPr>
      </w:pPr>
      <w:r>
        <w:rPr>
          <w:rFonts w:ascii="Bookman Old Style" w:eastAsia="Arial" w:hAnsi="Bookman Old Style" w:cs="Arial"/>
          <w:i/>
          <w:sz w:val="20"/>
          <w:szCs w:val="20"/>
          <w:u w:val="single"/>
        </w:rPr>
        <w:br w:type="page"/>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1.2 Analýza stávajících parametrů osvětlení</w:t>
      </w:r>
    </w:p>
    <w:p w:rsidR="001D5A0E" w:rsidRPr="00987B58" w:rsidRDefault="001701A8" w:rsidP="00987B58">
      <w:pPr>
        <w:spacing w:before="120" w:after="0" w:line="240" w:lineRule="auto"/>
        <w:jc w:val="both"/>
        <w:rPr>
          <w:rFonts w:ascii="Bookman Old Style" w:eastAsia="Arial" w:hAnsi="Bookman Old Style" w:cs="Arial"/>
          <w:sz w:val="20"/>
          <w:szCs w:val="20"/>
        </w:rPr>
      </w:pPr>
      <w:r w:rsidRPr="001701A8">
        <w:rPr>
          <w:rFonts w:ascii="Bookman Old Style" w:eastAsia="Arial" w:hAnsi="Bookman Old Style" w:cs="Arial"/>
          <w:sz w:val="20"/>
          <w:szCs w:val="20"/>
        </w:rPr>
        <w:t>V rámci této části analýzy bude provedeno místní šetření, jehož součásti je soupis nefunkčních (nesvítících) světelných míst svítidel VO. Na základě vizuálního zhodnocení se určí místa a úseky pozemních komunikací s nedostatečným osvětlením. Dále se stanoví problematická místa, kde je veřejné osvětlení cloněno (například zelení) nebo kde působí rušivě na své okolí (oslnění, svícení do oken obytných budov apod.). Součástí této části analýzy je měření světelně technických parametrů u vybraných vzorových polí v souladu s</w:t>
      </w:r>
      <w:r>
        <w:rPr>
          <w:rFonts w:ascii="Bookman Old Style" w:eastAsia="Arial" w:hAnsi="Bookman Old Style" w:cs="Arial"/>
          <w:sz w:val="20"/>
          <w:szCs w:val="20"/>
        </w:rPr>
        <w:t> </w:t>
      </w:r>
      <w:r w:rsidRPr="001701A8">
        <w:rPr>
          <w:rFonts w:ascii="Bookman Old Style" w:eastAsia="Arial" w:hAnsi="Bookman Old Style" w:cs="Arial"/>
          <w:sz w:val="20"/>
          <w:szCs w:val="20"/>
        </w:rPr>
        <w:t>normou ČSN EN 13 201 a to společností, která má k takovému měření oprávnění nebo certifikát (pro třídy komunikací P a C bude provedeno samostatné měření kalibrovaným luxmetrem třídy L nebo A - fotočlánek bude umístěn na kardanovém závěsu pro zajištění vodorovné polohy fotočlánku; pro třídy komunikace M bude provedeno měření jasovým analyzátorem). Vzorová pole se vyspecifikují podle kategorií pozemních komunikací a podle typů osvětlovacích soustav a mezi vzorová pole se zahrnou také místa se zvýšenou dopravní nehodovostí určená v Základní plánu osvětlení. Zadavatel předpokládá měření v rozsahu 60</w:t>
      </w:r>
      <w:r>
        <w:rPr>
          <w:rFonts w:ascii="Bookman Old Style" w:eastAsia="Arial" w:hAnsi="Bookman Old Style" w:cs="Arial"/>
          <w:sz w:val="20"/>
          <w:szCs w:val="20"/>
        </w:rPr>
        <w:t> </w:t>
      </w:r>
      <w:r w:rsidRPr="001701A8">
        <w:rPr>
          <w:rFonts w:ascii="Bookman Old Style" w:eastAsia="Arial" w:hAnsi="Bookman Old Style" w:cs="Arial"/>
          <w:sz w:val="20"/>
          <w:szCs w:val="20"/>
        </w:rPr>
        <w:t>úseků, a to zejména na průjezdních úsecích silnic</w:t>
      </w:r>
      <w:r w:rsidR="00607BD4" w:rsidRPr="00607BD4">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1.3 Analýza spotřeby elektrické energie</w:t>
      </w:r>
    </w:p>
    <w:p w:rsidR="001D5A0E" w:rsidRPr="00987B58" w:rsidRDefault="001701A8" w:rsidP="00987B58">
      <w:pPr>
        <w:spacing w:before="120" w:after="0" w:line="240" w:lineRule="auto"/>
        <w:jc w:val="both"/>
        <w:rPr>
          <w:rFonts w:ascii="Bookman Old Style" w:eastAsia="Arial" w:hAnsi="Bookman Old Style" w:cs="Arial"/>
          <w:sz w:val="20"/>
          <w:szCs w:val="20"/>
        </w:rPr>
      </w:pPr>
      <w:r w:rsidRPr="001701A8">
        <w:rPr>
          <w:rFonts w:ascii="Bookman Old Style" w:eastAsia="Arial" w:hAnsi="Bookman Old Style" w:cs="Arial"/>
          <w:sz w:val="20"/>
          <w:szCs w:val="20"/>
        </w:rPr>
        <w:t>Provede se rozbor způsobu ovládání veřejného osvětlení a případné regulace a stanoví se roční doba provozu stávajícího veřejného osvětlení na základě spínání a regulace jednotlivých zapínacích míst. Na základě podkladů (faktury za elektrickou energii) od obce se provede rozbor spotřeby elektrické energie po jednotlivých zapínacích místech za posledních 5 let a posoudí se, zda spotřebovaná elektrická energie odpovídá připojené zátěži, resp. světelným místům. Posoudí se současné využití zapínacích míst. (optimalizace hodnot hlavních jističů a jejich vypínacích charakteristik rozvaděčů VO, optimalizace počtu rozvaděčů VO atd</w:t>
      </w:r>
      <w:r w:rsidR="001D5A0E"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1.4 Analýza provozních a investičních nákladů</w:t>
      </w:r>
    </w:p>
    <w:p w:rsidR="001D5A0E" w:rsidRPr="00987B58" w:rsidRDefault="001701A8" w:rsidP="00987B58">
      <w:pPr>
        <w:spacing w:before="120" w:after="0" w:line="240" w:lineRule="auto"/>
        <w:jc w:val="both"/>
        <w:rPr>
          <w:rFonts w:ascii="Bookman Old Style" w:eastAsia="Arial" w:hAnsi="Bookman Old Style" w:cs="Arial"/>
          <w:sz w:val="20"/>
          <w:szCs w:val="20"/>
        </w:rPr>
      </w:pPr>
      <w:r w:rsidRPr="001701A8">
        <w:rPr>
          <w:rFonts w:ascii="Bookman Old Style" w:eastAsia="Arial" w:hAnsi="Bookman Old Style" w:cs="Arial"/>
          <w:sz w:val="20"/>
          <w:szCs w:val="20"/>
        </w:rPr>
        <w:t>Na základě informací o platbách za elektrickou energii, o nákladech na údržbu veřejného osvětlení a informací o investičních akcích veřejného osvětlení za posledních 5 let, jejichž součástí byla obnova nebo nová výstavba veřejného osvětlení, se provede analýza současných nákladů na veřejné osvětlení. Stanoví se životnosti jednotlivých prvků osvětlovací soustavy a provede se nákladová kalkulace pro modelové situace obnovy (výměna svítidel, výměna stožárů, výměna kabelových polí, výměna zapínacího místa, nátěry nosných konstrukcí</w:t>
      </w:r>
      <w:r w:rsidR="001D5A0E" w:rsidRPr="00987B58">
        <w:rPr>
          <w:rFonts w:ascii="Bookman Old Style" w:eastAsia="Arial" w:hAnsi="Bookman Old Style" w:cs="Arial"/>
          <w:sz w:val="20"/>
          <w:szCs w:val="20"/>
        </w:rPr>
        <w:t xml:space="preserve">). </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B.1.5 Analýza současného stavu a trendů v oblasti veřejného osvětlení</w:t>
      </w:r>
    </w:p>
    <w:p w:rsidR="001D5A0E" w:rsidRPr="00987B58" w:rsidRDefault="001701A8" w:rsidP="00987B58">
      <w:pPr>
        <w:spacing w:before="120" w:after="0" w:line="240" w:lineRule="auto"/>
        <w:jc w:val="both"/>
        <w:rPr>
          <w:rFonts w:ascii="Bookman Old Style" w:eastAsia="Arial" w:hAnsi="Bookman Old Style" w:cs="Arial"/>
          <w:sz w:val="20"/>
          <w:szCs w:val="20"/>
        </w:rPr>
      </w:pPr>
      <w:r w:rsidRPr="001701A8">
        <w:rPr>
          <w:rFonts w:ascii="Bookman Old Style" w:eastAsia="Arial" w:hAnsi="Bookman Old Style" w:cs="Arial"/>
          <w:sz w:val="20"/>
          <w:szCs w:val="20"/>
        </w:rPr>
        <w:t>Pro účely modernizace veřejného osvětlení bude provedena rešerše současného trhu s</w:t>
      </w:r>
      <w:r>
        <w:rPr>
          <w:rFonts w:ascii="Bookman Old Style" w:eastAsia="Arial" w:hAnsi="Bookman Old Style" w:cs="Arial"/>
          <w:sz w:val="20"/>
          <w:szCs w:val="20"/>
        </w:rPr>
        <w:t> </w:t>
      </w:r>
      <w:r w:rsidRPr="001701A8">
        <w:rPr>
          <w:rFonts w:ascii="Bookman Old Style" w:eastAsia="Arial" w:hAnsi="Bookman Old Style" w:cs="Arial"/>
          <w:sz w:val="20"/>
          <w:szCs w:val="20"/>
        </w:rPr>
        <w:t>výrobky pro veřejné osvětlení a stanoví se rozsah kvality podle definovaných parametrů a</w:t>
      </w:r>
      <w:r>
        <w:rPr>
          <w:rFonts w:ascii="Bookman Old Style" w:eastAsia="Arial" w:hAnsi="Bookman Old Style" w:cs="Arial"/>
          <w:sz w:val="20"/>
          <w:szCs w:val="20"/>
        </w:rPr>
        <w:t> </w:t>
      </w:r>
      <w:r w:rsidRPr="001701A8">
        <w:rPr>
          <w:rFonts w:ascii="Bookman Old Style" w:eastAsia="Arial" w:hAnsi="Bookman Old Style" w:cs="Arial"/>
          <w:sz w:val="20"/>
          <w:szCs w:val="20"/>
        </w:rPr>
        <w:t>cenové úrovně. K jednotlivým skupinám výrobků budou uvedeny ceny v závislosti na stupni kvality (nízká, střední, vysoká) a budou definovány kvalitativní rozdíly mezi jednotlivými stupni. Současně bude provedena analýza dostupných systémů pro řízení a</w:t>
      </w:r>
      <w:r>
        <w:rPr>
          <w:rFonts w:ascii="Bookman Old Style" w:eastAsia="Arial" w:hAnsi="Bookman Old Style" w:cs="Arial"/>
          <w:sz w:val="20"/>
          <w:szCs w:val="20"/>
        </w:rPr>
        <w:t> </w:t>
      </w:r>
      <w:r w:rsidRPr="001701A8">
        <w:rPr>
          <w:rFonts w:ascii="Bookman Old Style" w:eastAsia="Arial" w:hAnsi="Bookman Old Style" w:cs="Arial"/>
          <w:sz w:val="20"/>
          <w:szCs w:val="20"/>
        </w:rPr>
        <w:t>ovládání soustavy veřejného osvětlení a úroveň investičních nákladů na jejich zavedení</w:t>
      </w:r>
      <w:r w:rsidR="001D5A0E" w:rsidRPr="00987B58">
        <w:rPr>
          <w:rFonts w:ascii="Bookman Old Style" w:eastAsia="Arial" w:hAnsi="Bookman Old Style" w:cs="Arial"/>
          <w:sz w:val="20"/>
          <w:szCs w:val="20"/>
        </w:rPr>
        <w:t>.</w:t>
      </w:r>
    </w:p>
    <w:p w:rsidR="001701A8" w:rsidRDefault="001701A8" w:rsidP="001D5A0E">
      <w:pPr>
        <w:spacing w:after="0" w:line="240" w:lineRule="auto"/>
        <w:jc w:val="both"/>
        <w:rPr>
          <w:rFonts w:ascii="Bookman Old Style" w:eastAsia="Arial" w:hAnsi="Bookman Old Style" w:cs="Arial"/>
          <w:b/>
          <w:i/>
          <w:sz w:val="20"/>
          <w:szCs w:val="20"/>
        </w:rPr>
      </w:pPr>
    </w:p>
    <w:p w:rsidR="001D5A0E" w:rsidRPr="00987B58" w:rsidRDefault="001D5A0E" w:rsidP="001D5A0E">
      <w:pPr>
        <w:spacing w:after="0" w:line="240" w:lineRule="auto"/>
        <w:jc w:val="both"/>
        <w:rPr>
          <w:rFonts w:ascii="Bookman Old Style" w:eastAsia="Arial" w:hAnsi="Bookman Old Style" w:cs="Arial"/>
          <w:b/>
          <w:i/>
          <w:sz w:val="20"/>
          <w:szCs w:val="20"/>
        </w:rPr>
      </w:pPr>
      <w:r w:rsidRPr="00987B58">
        <w:rPr>
          <w:rFonts w:ascii="Bookman Old Style" w:eastAsia="Arial" w:hAnsi="Bookman Old Style" w:cs="Arial"/>
          <w:b/>
          <w:i/>
          <w:sz w:val="20"/>
          <w:szCs w:val="20"/>
        </w:rPr>
        <w:t>B.2 Návrhová část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B.2.1 Návrh rozsahu prosté obnovy veřejného osvětlení</w:t>
      </w:r>
    </w:p>
    <w:p w:rsidR="001D5A0E" w:rsidRPr="00987B58" w:rsidRDefault="00AC3CE6" w:rsidP="00987B58">
      <w:pPr>
        <w:spacing w:before="120" w:after="0" w:line="240" w:lineRule="auto"/>
        <w:jc w:val="both"/>
        <w:rPr>
          <w:rFonts w:ascii="Bookman Old Style" w:eastAsia="Arial" w:hAnsi="Bookman Old Style" w:cs="Arial"/>
          <w:sz w:val="20"/>
          <w:szCs w:val="20"/>
        </w:rPr>
      </w:pPr>
      <w:r w:rsidRPr="00AC3CE6">
        <w:rPr>
          <w:rFonts w:ascii="Bookman Old Style" w:eastAsia="Arial" w:hAnsi="Bookman Old Style" w:cs="Arial"/>
          <w:sz w:val="20"/>
          <w:szCs w:val="20"/>
        </w:rPr>
        <w:t>Na základě životnosti jednotlivých prvků osvětlovací soustavy a cen modelových situací obnovy, určených v analytické části, se stanoví celkové náklady na prostou obnovu a</w:t>
      </w:r>
      <w:r>
        <w:rPr>
          <w:rFonts w:ascii="Bookman Old Style" w:eastAsia="Arial" w:hAnsi="Bookman Old Style" w:cs="Arial"/>
          <w:sz w:val="20"/>
          <w:szCs w:val="20"/>
        </w:rPr>
        <w:t> </w:t>
      </w:r>
      <w:r w:rsidRPr="00AC3CE6">
        <w:rPr>
          <w:rFonts w:ascii="Bookman Old Style" w:eastAsia="Arial" w:hAnsi="Bookman Old Style" w:cs="Arial"/>
          <w:sz w:val="20"/>
          <w:szCs w:val="20"/>
        </w:rPr>
        <w:t>navrhne se systém obnovy veřejného osvětlení (jednorázový, skokový, souvislý) při použití prvků veřejného osvětlení v kvalitativní úrovni a geometrickém uspořádání odpovídající stávající obnovované osvětlovací soustavě. Stanoví se průměrné roční náklady prosté obnovy včetně doporučeného počtu prvků VO určených k roční obnově</w:t>
      </w:r>
      <w:r w:rsidR="001D5A0E"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2.2 Návrh harmonogramu obnovy</w:t>
      </w:r>
    </w:p>
    <w:p w:rsidR="001D5A0E" w:rsidRPr="00987B58" w:rsidRDefault="00AC3CE6" w:rsidP="00987B58">
      <w:pPr>
        <w:spacing w:before="120" w:after="0" w:line="240" w:lineRule="auto"/>
        <w:jc w:val="both"/>
        <w:rPr>
          <w:rFonts w:ascii="Bookman Old Style" w:eastAsia="Arial" w:hAnsi="Bookman Old Style" w:cs="Arial"/>
          <w:sz w:val="20"/>
          <w:szCs w:val="20"/>
        </w:rPr>
      </w:pPr>
      <w:r w:rsidRPr="00AC3CE6">
        <w:rPr>
          <w:rFonts w:ascii="Bookman Old Style" w:eastAsia="Arial" w:hAnsi="Bookman Old Style" w:cs="Arial"/>
          <w:sz w:val="20"/>
          <w:szCs w:val="20"/>
        </w:rPr>
        <w:t>V této části budou stanovena kritéria související se stavem veřejného osvětlení a bude specifikována jejich váha. Tato kritéria (např. fyzický stav, mechanická stabilita, energetická náročnost, nevyhovující parametry osvětlení, rušivý vliv apod.) budou sloužit pro stanovení priorit při obnově veřejného osvětlení. Na základě stanovených kritérií, průměrných ročních nákladů na prostou obnovu a doporučeného počtu prvků VO určených k roční obnově veřejného osvětlení se stanoví modelový harmonogram obnovy s vyčíslenými náklady členěnými po určených oblastech obce, resp. po konkrétních pozemních komunikacích. Pokud je k dispozici plán obnovy pozemních komunikací, pak se podle možností upraví a</w:t>
      </w:r>
      <w:r>
        <w:rPr>
          <w:rFonts w:ascii="Bookman Old Style" w:eastAsia="Arial" w:hAnsi="Bookman Old Style" w:cs="Arial"/>
          <w:sz w:val="20"/>
          <w:szCs w:val="20"/>
        </w:rPr>
        <w:t> </w:t>
      </w:r>
      <w:r w:rsidRPr="00AC3CE6">
        <w:rPr>
          <w:rFonts w:ascii="Bookman Old Style" w:eastAsia="Arial" w:hAnsi="Bookman Old Style" w:cs="Arial"/>
          <w:sz w:val="20"/>
          <w:szCs w:val="20"/>
        </w:rPr>
        <w:t>zkoordinuje harmonogram obnovy veřejného osvětlení s plánem obnovy pozemních komunikací. Stanoví se roční náklady a rozsah obnovy veřejného osvětlení</w:t>
      </w:r>
      <w:r w:rsidR="001D5A0E"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2.3 Návrh modernizace osvětlovací soustavy</w:t>
      </w:r>
    </w:p>
    <w:p w:rsidR="001D5A0E" w:rsidRPr="00987B58" w:rsidRDefault="00AC3CE6" w:rsidP="00987B58">
      <w:pPr>
        <w:spacing w:before="120" w:after="0" w:line="240" w:lineRule="auto"/>
        <w:jc w:val="both"/>
        <w:rPr>
          <w:rFonts w:ascii="Bookman Old Style" w:eastAsia="Arial" w:hAnsi="Bookman Old Style" w:cs="Arial"/>
          <w:sz w:val="20"/>
          <w:szCs w:val="20"/>
        </w:rPr>
      </w:pPr>
      <w:r w:rsidRPr="00AC3CE6">
        <w:rPr>
          <w:rFonts w:ascii="Bookman Old Style" w:eastAsia="Arial" w:hAnsi="Bookman Old Style" w:cs="Arial"/>
          <w:sz w:val="20"/>
          <w:szCs w:val="20"/>
        </w:rPr>
        <w:t xml:space="preserve">V této části se s využitím charakteristických modulů (viz </w:t>
      </w:r>
      <w:r w:rsidRPr="00AC3CE6">
        <w:rPr>
          <w:rFonts w:ascii="Bookman Old Style" w:eastAsia="Arial" w:hAnsi="Bookman Old Style" w:cs="Arial"/>
          <w:i/>
          <w:sz w:val="20"/>
          <w:szCs w:val="20"/>
        </w:rPr>
        <w:t>Základní plán osvětlení</w:t>
      </w:r>
      <w:r w:rsidRPr="00AC3CE6">
        <w:rPr>
          <w:rFonts w:ascii="Bookman Old Style" w:eastAsia="Arial" w:hAnsi="Bookman Old Style" w:cs="Arial"/>
          <w:sz w:val="20"/>
          <w:szCs w:val="20"/>
        </w:rPr>
        <w:t xml:space="preserve">), požadovaných parametrů osvětlení a svítidel splňující požadavky na technické parametry (Tcp, Ra, G, ULR) i na ovládání a řízení (viz </w:t>
      </w:r>
      <w:r w:rsidRPr="00AC3CE6">
        <w:rPr>
          <w:rFonts w:ascii="Bookman Old Style" w:eastAsia="Arial" w:hAnsi="Bookman Old Style" w:cs="Arial"/>
          <w:i/>
          <w:sz w:val="20"/>
          <w:szCs w:val="20"/>
        </w:rPr>
        <w:t>Základní plán osvětlení</w:t>
      </w:r>
      <w:r w:rsidRPr="00AC3CE6">
        <w:rPr>
          <w:rFonts w:ascii="Bookman Old Style" w:eastAsia="Arial" w:hAnsi="Bookman Old Style" w:cs="Arial"/>
          <w:sz w:val="20"/>
          <w:szCs w:val="20"/>
        </w:rPr>
        <w:t xml:space="preserve">) provede návrh modernizace veřejného osvětlení. Tento návrh je vhodné zpracovat pro více typů svítidel od více výrobců, pro získání přehledu o možném rozsahu nákladů i energetické náročnosti. Provede se popis všech modernizačních kroků (např. optimalizace geometrie osvětlovací soustavy, použití nových svítidel s delší životností světelných zdrojů a nižší energetickou náročností, využití řídicího systému, dálkový odečet spotřeby elektrické energie apod.) použitých v návrhu osvětlovací soustavy, uvede se, zda je modernizační krok vyvolaný (např. požadavky ze základního plánu) nebo navrhovaný. U navrhovaných modernizačních kroků se uvede důvod jejich navržení (např. zvýšení kvality, snížení energetické náročnosti apod.), stanoví se náklady na jejich realizaci, a tam, kde je to smysluplné, se vyčíslí jejich návratnost. Zpracuje se soupis zařízení veřejného osvětlení se specifikací technických parametrů a estetických parametrů (viz </w:t>
      </w:r>
      <w:r w:rsidRPr="00D50C19">
        <w:rPr>
          <w:rFonts w:ascii="Bookman Old Style" w:eastAsia="Arial" w:hAnsi="Bookman Old Style" w:cs="Arial"/>
          <w:i/>
          <w:sz w:val="20"/>
          <w:szCs w:val="20"/>
        </w:rPr>
        <w:t>Základní plán osvětlení</w:t>
      </w:r>
      <w:r w:rsidRPr="00AC3CE6">
        <w:rPr>
          <w:rFonts w:ascii="Bookman Old Style" w:eastAsia="Arial" w:hAnsi="Bookman Old Style" w:cs="Arial"/>
          <w:sz w:val="20"/>
          <w:szCs w:val="20"/>
        </w:rPr>
        <w:t>) a se stanovením jejich kvalitativní úrovně</w:t>
      </w:r>
      <w:r w:rsidR="001D5A0E"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sz w:val="20"/>
          <w:szCs w:val="20"/>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2.4 Návrh rozsahu modernizace s určením návratnosti a provozních nákladů</w:t>
      </w:r>
    </w:p>
    <w:p w:rsidR="001D5A0E" w:rsidRPr="00987B58" w:rsidRDefault="00D50C19" w:rsidP="00987B58">
      <w:pPr>
        <w:spacing w:before="120" w:after="0" w:line="240" w:lineRule="auto"/>
        <w:jc w:val="both"/>
        <w:rPr>
          <w:rFonts w:ascii="Bookman Old Style" w:eastAsia="Arial" w:hAnsi="Bookman Old Style" w:cs="Arial"/>
          <w:sz w:val="20"/>
          <w:szCs w:val="20"/>
        </w:rPr>
      </w:pPr>
      <w:r w:rsidRPr="00D50C19">
        <w:rPr>
          <w:rFonts w:ascii="Bookman Old Style" w:eastAsia="Arial" w:hAnsi="Bookman Old Style" w:cs="Arial"/>
          <w:sz w:val="20"/>
          <w:szCs w:val="20"/>
        </w:rPr>
        <w:t>Na základě kritérií stanovených v části s návrhem harmonogramu obnovy se stanoví modelový harmonogram modernizace s vyčíslením nákladů členěných po určených oblastech obce, resp. po konkrétních pozemních komunikacích. Provede se porovnání nákladů na modernizaci s náklady na obnovu a u navrhovaných (nevyvolaných) modernizačních prvků se zhodnotí jejich přínosy a celková návratnost vůči běžné obnově veřejného osvětlení a rozhodne se o tom, zda se navrhovaný modernizační krok aplikuje či nikoliv</w:t>
      </w:r>
      <w:r w:rsidR="001D5A0E" w:rsidRPr="00987B58">
        <w:rPr>
          <w:rFonts w:ascii="Bookman Old Style" w:eastAsia="Arial" w:hAnsi="Bookman Old Style" w:cs="Arial"/>
          <w:sz w:val="20"/>
          <w:szCs w:val="20"/>
        </w:rPr>
        <w:t>.</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B</w:t>
      </w:r>
      <w:r w:rsidR="00AC4186" w:rsidRPr="00987B58">
        <w:rPr>
          <w:rFonts w:ascii="Bookman Old Style" w:eastAsia="Arial" w:hAnsi="Bookman Old Style" w:cs="Arial"/>
          <w:i/>
          <w:sz w:val="20"/>
          <w:szCs w:val="20"/>
          <w:u w:val="single"/>
        </w:rPr>
        <w:t>.</w:t>
      </w:r>
      <w:r w:rsidRPr="00987B58">
        <w:rPr>
          <w:rFonts w:ascii="Bookman Old Style" w:eastAsia="Arial" w:hAnsi="Bookman Old Style" w:cs="Arial"/>
          <w:i/>
          <w:sz w:val="20"/>
          <w:szCs w:val="20"/>
          <w:u w:val="single"/>
        </w:rPr>
        <w:t>2.5 Návrh harmonogramu modernizace a obnovy veřejného osvětlení</w:t>
      </w:r>
    </w:p>
    <w:p w:rsidR="001D5A0E" w:rsidRPr="00987B58" w:rsidRDefault="00D50C19" w:rsidP="00987B58">
      <w:pPr>
        <w:spacing w:before="120" w:after="0" w:line="240" w:lineRule="auto"/>
        <w:jc w:val="both"/>
        <w:rPr>
          <w:rFonts w:ascii="Bookman Old Style" w:eastAsia="Arial" w:hAnsi="Bookman Old Style" w:cs="Arial"/>
          <w:sz w:val="20"/>
          <w:szCs w:val="20"/>
        </w:rPr>
      </w:pPr>
      <w:r w:rsidRPr="00D50C19">
        <w:rPr>
          <w:rFonts w:ascii="Bookman Old Style" w:eastAsia="Arial" w:hAnsi="Bookman Old Style" w:cs="Arial"/>
          <w:sz w:val="20"/>
          <w:szCs w:val="20"/>
        </w:rPr>
        <w:t>Na základě porovnání plánu obnovy a plánu modernizace se vytvoří jeden harmonogram obnovy a modernizace s vyčíslenými náklady členěný po určených oblastech obce, resp. po konkrétních pozemních komunikacích</w:t>
      </w:r>
      <w:r w:rsidR="001D5A0E" w:rsidRPr="00987B58">
        <w:rPr>
          <w:rFonts w:ascii="Bookman Old Style" w:eastAsia="Arial" w:hAnsi="Bookman Old Style" w:cs="Arial"/>
          <w:sz w:val="20"/>
          <w:szCs w:val="20"/>
        </w:rPr>
        <w:t xml:space="preserve">. </w:t>
      </w:r>
    </w:p>
    <w:p w:rsidR="001D5A0E" w:rsidRPr="00987B58" w:rsidRDefault="001D5A0E" w:rsidP="00987B58">
      <w:pPr>
        <w:spacing w:before="120" w:after="0" w:line="240" w:lineRule="auto"/>
        <w:jc w:val="both"/>
        <w:rPr>
          <w:rFonts w:ascii="Bookman Old Style" w:eastAsia="Arial" w:hAnsi="Bookman Old Style" w:cs="Arial"/>
          <w:sz w:val="20"/>
          <w:szCs w:val="20"/>
        </w:rPr>
      </w:pPr>
    </w:p>
    <w:p w:rsidR="003B4F13" w:rsidRPr="00987B58" w:rsidRDefault="003B4F13" w:rsidP="00987B58">
      <w:pPr>
        <w:spacing w:before="120" w:after="0" w:line="240" w:lineRule="auto"/>
        <w:jc w:val="both"/>
        <w:rPr>
          <w:rFonts w:ascii="Bookman Old Style" w:eastAsiaTheme="minorEastAsia" w:hAnsi="Bookman Old Style"/>
          <w:b/>
          <w:i/>
          <w:sz w:val="20"/>
          <w:szCs w:val="20"/>
        </w:rPr>
      </w:pPr>
      <w:r w:rsidRPr="00987B58">
        <w:rPr>
          <w:rFonts w:ascii="Bookman Old Style" w:eastAsia="Arial" w:hAnsi="Bookman Old Style" w:cs="Arial"/>
          <w:b/>
          <w:i/>
          <w:sz w:val="20"/>
          <w:szCs w:val="20"/>
        </w:rPr>
        <w:t>B.3 Implementační část</w:t>
      </w:r>
    </w:p>
    <w:p w:rsidR="00AC4645" w:rsidRDefault="00D50C19" w:rsidP="00987B58">
      <w:pPr>
        <w:spacing w:before="120" w:after="0" w:line="240" w:lineRule="auto"/>
        <w:jc w:val="both"/>
        <w:rPr>
          <w:rFonts w:ascii="Bookman Old Style" w:hAnsi="Bookman Old Style" w:cs="Arial"/>
          <w:sz w:val="20"/>
          <w:szCs w:val="20"/>
        </w:rPr>
      </w:pPr>
      <w:r w:rsidRPr="00D50C19">
        <w:rPr>
          <w:rFonts w:ascii="Bookman Old Style" w:eastAsiaTheme="minorEastAsia" w:hAnsi="Bookman Old Style" w:cs="Arial"/>
          <w:sz w:val="20"/>
          <w:szCs w:val="20"/>
        </w:rPr>
        <w:t>Tato část stanoví princip informování relevantních subjektů (např. zastupitelstvo města, zaměstnance úřadu, veřejnost) o plánu obnovy a modernizace VO (prostřednictvím seminářů, školení, popř. jiným vhodným způsobem). Cílem je stanovit nejvhodnější způsob informování cílových skupin, aby mohlo docházet k efektivním opatřením, která budou ku prospěchu celému městu</w:t>
      </w:r>
      <w:r w:rsidR="00AC4645" w:rsidRPr="00987B58">
        <w:rPr>
          <w:rFonts w:ascii="Bookman Old Style" w:hAnsi="Bookman Old Style" w:cs="Arial"/>
          <w:sz w:val="20"/>
          <w:szCs w:val="20"/>
        </w:rPr>
        <w:t>.</w:t>
      </w:r>
    </w:p>
    <w:p w:rsidR="00D50C19" w:rsidRPr="00987B58" w:rsidRDefault="00D50C19" w:rsidP="00987B58">
      <w:pPr>
        <w:spacing w:before="120" w:after="0" w:line="240" w:lineRule="auto"/>
        <w:jc w:val="both"/>
        <w:rPr>
          <w:rFonts w:ascii="Bookman Old Style" w:eastAsia="Arial" w:hAnsi="Bookman Old Style" w:cs="Arial"/>
          <w:sz w:val="20"/>
          <w:szCs w:val="20"/>
        </w:rPr>
      </w:pPr>
    </w:p>
    <w:p w:rsidR="001D5A0E" w:rsidRPr="00987B58" w:rsidRDefault="001D5A0E" w:rsidP="00987B58">
      <w:pPr>
        <w:spacing w:before="120" w:after="0" w:line="240" w:lineRule="auto"/>
        <w:jc w:val="both"/>
        <w:rPr>
          <w:rFonts w:ascii="Bookman Old Style" w:eastAsia="Arial" w:hAnsi="Bookman Old Style" w:cs="Arial"/>
          <w:b/>
          <w:i/>
          <w:sz w:val="20"/>
          <w:szCs w:val="20"/>
        </w:rPr>
      </w:pPr>
      <w:r w:rsidRPr="00987B58">
        <w:rPr>
          <w:rFonts w:ascii="Bookman Old Style" w:eastAsia="Arial" w:hAnsi="Bookman Old Style" w:cs="Arial"/>
          <w:b/>
          <w:i/>
          <w:sz w:val="20"/>
          <w:szCs w:val="20"/>
        </w:rPr>
        <w:t>B.</w:t>
      </w:r>
      <w:r w:rsidR="003B4F13" w:rsidRPr="00987B58">
        <w:rPr>
          <w:rFonts w:ascii="Bookman Old Style" w:eastAsia="Arial" w:hAnsi="Bookman Old Style" w:cs="Arial"/>
          <w:b/>
          <w:i/>
          <w:sz w:val="20"/>
          <w:szCs w:val="20"/>
        </w:rPr>
        <w:t>4</w:t>
      </w:r>
      <w:r w:rsidRPr="00987B58">
        <w:rPr>
          <w:rFonts w:ascii="Bookman Old Style" w:eastAsia="Arial" w:hAnsi="Bookman Old Style" w:cs="Arial"/>
          <w:b/>
          <w:i/>
          <w:sz w:val="20"/>
          <w:szCs w:val="20"/>
        </w:rPr>
        <w:t xml:space="preserve"> Výstup</w:t>
      </w:r>
    </w:p>
    <w:p w:rsidR="00EC4CBC" w:rsidRPr="00EC4CBC" w:rsidRDefault="00EC4CBC" w:rsidP="00EC4CBC">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Výstup „Plánu obnovy a modernizace veřejného osvětlení“ bude mít v souladu s uvedenými požadavky na zpracování Plánu obnovy a modernizace veřejného osvětlení v části B.1 Analytická část a B.2 Návrhová část </w:t>
      </w:r>
      <w:r w:rsidR="005521C2" w:rsidRPr="005269C8">
        <w:rPr>
          <w:rFonts w:ascii="Bookman Old Style" w:eastAsia="Arial" w:hAnsi="Bookman Old Style" w:cs="Arial"/>
          <w:sz w:val="20"/>
          <w:szCs w:val="20"/>
        </w:rPr>
        <w:t>s</w:t>
      </w:r>
      <w:r w:rsidR="00C00637" w:rsidRPr="005269C8">
        <w:rPr>
          <w:rFonts w:ascii="Bookman Old Style" w:eastAsia="Arial" w:hAnsi="Bookman Old Style" w:cs="Arial"/>
          <w:sz w:val="20"/>
          <w:szCs w:val="20"/>
        </w:rPr>
        <w:t>e</w:t>
      </w:r>
      <w:r w:rsidR="005521C2" w:rsidRPr="005269C8">
        <w:rPr>
          <w:rFonts w:ascii="Bookman Old Style" w:eastAsia="Arial" w:hAnsi="Bookman Old Style" w:cs="Arial"/>
          <w:sz w:val="20"/>
          <w:szCs w:val="20"/>
        </w:rPr>
        <w:t>dm</w:t>
      </w:r>
      <w:r w:rsidRPr="00EC4CBC">
        <w:rPr>
          <w:rFonts w:ascii="Bookman Old Style" w:eastAsia="Arial" w:hAnsi="Bookman Old Style" w:cs="Arial"/>
          <w:sz w:val="20"/>
          <w:szCs w:val="20"/>
        </w:rPr>
        <w:t xml:space="preserve"> samostatn</w:t>
      </w:r>
      <w:r w:rsidR="008537DD">
        <w:rPr>
          <w:rFonts w:ascii="Bookman Old Style" w:eastAsia="Arial" w:hAnsi="Bookman Old Style" w:cs="Arial"/>
          <w:sz w:val="20"/>
          <w:szCs w:val="20"/>
        </w:rPr>
        <w:t>ých</w:t>
      </w:r>
      <w:r w:rsidRPr="00EC4CBC">
        <w:rPr>
          <w:rFonts w:ascii="Bookman Old Style" w:eastAsia="Arial" w:hAnsi="Bookman Old Style" w:cs="Arial"/>
          <w:sz w:val="20"/>
          <w:szCs w:val="20"/>
        </w:rPr>
        <w:t xml:space="preserve"> dokument</w:t>
      </w:r>
      <w:r w:rsidR="008537DD">
        <w:rPr>
          <w:rFonts w:ascii="Bookman Old Style" w:eastAsia="Arial" w:hAnsi="Bookman Old Style" w:cs="Arial"/>
          <w:sz w:val="20"/>
          <w:szCs w:val="20"/>
        </w:rPr>
        <w:t>ů</w:t>
      </w:r>
      <w:r w:rsidRPr="00EC4CBC">
        <w:rPr>
          <w:rFonts w:ascii="Bookman Old Style" w:eastAsia="Arial" w:hAnsi="Bookman Old Style" w:cs="Arial"/>
          <w:sz w:val="20"/>
          <w:szCs w:val="20"/>
        </w:rPr>
        <w:t xml:space="preserve"> v následujících formátech a obsahu:</w:t>
      </w:r>
    </w:p>
    <w:p w:rsidR="008537DD"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8537DD">
        <w:rPr>
          <w:rFonts w:ascii="Bookman Old Style" w:eastAsia="Arial" w:hAnsi="Bookman Old Style" w:cs="Arial"/>
          <w:sz w:val="20"/>
          <w:szCs w:val="20"/>
        </w:rPr>
        <w:t>Aktualizace pasportu VO:</w:t>
      </w:r>
    </w:p>
    <w:p w:rsidR="008537DD" w:rsidRPr="00EC4CBC" w:rsidRDefault="008537DD"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Databázová </w:t>
      </w:r>
      <w:r w:rsidRPr="00EC4CBC">
        <w:rPr>
          <w:rFonts w:ascii="Bookman Old Style" w:eastAsia="Arial" w:hAnsi="Bookman Old Style" w:cs="Arial"/>
          <w:sz w:val="20"/>
          <w:szCs w:val="20"/>
        </w:rPr>
        <w:t>část – formát *.*.xls, *.dbf nebo *.csv</w:t>
      </w:r>
    </w:p>
    <w:p w:rsidR="008537DD" w:rsidRPr="00EC4CBC" w:rsidRDefault="008537DD"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Mapová část</w:t>
      </w:r>
      <w:r w:rsidRPr="00EC4CBC">
        <w:rPr>
          <w:rFonts w:ascii="Bookman Old Style" w:eastAsia="Arial" w:hAnsi="Bookman Old Style" w:cs="Arial"/>
          <w:sz w:val="20"/>
          <w:szCs w:val="20"/>
        </w:rPr>
        <w:t xml:space="preserve"> – formát *.</w:t>
      </w:r>
      <w:r>
        <w:rPr>
          <w:rFonts w:ascii="Bookman Old Style" w:eastAsia="Arial" w:hAnsi="Bookman Old Style" w:cs="Arial"/>
          <w:sz w:val="20"/>
          <w:szCs w:val="20"/>
        </w:rPr>
        <w:t>shp</w:t>
      </w:r>
    </w:p>
    <w:p w:rsidR="009841B5" w:rsidRDefault="009841B5" w:rsidP="00B00BAB">
      <w:pPr>
        <w:spacing w:after="0" w:line="240" w:lineRule="auto"/>
        <w:ind w:left="426" w:hanging="426"/>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Pr="009841B5">
        <w:rPr>
          <w:rFonts w:ascii="Bookman Old Style" w:eastAsia="Arial" w:hAnsi="Bookman Old Style" w:cs="Arial"/>
          <w:sz w:val="20"/>
          <w:szCs w:val="20"/>
        </w:rPr>
        <w:t>Měření mechanické kontroly stožárů VO Rochovou metodou</w:t>
      </w:r>
      <w:r>
        <w:rPr>
          <w:rFonts w:ascii="Bookman Old Style" w:eastAsia="Arial" w:hAnsi="Bookman Old Style" w:cs="Arial"/>
          <w:sz w:val="20"/>
          <w:szCs w:val="20"/>
        </w:rPr>
        <w:t xml:space="preserve"> – formát *.pdf</w:t>
      </w:r>
    </w:p>
    <w:p w:rsidR="00EC4CBC" w:rsidRPr="00EC4CBC" w:rsidRDefault="008537DD" w:rsidP="00B00BAB">
      <w:pPr>
        <w:spacing w:after="0" w:line="240" w:lineRule="auto"/>
        <w:ind w:left="426" w:hanging="426"/>
        <w:jc w:val="both"/>
        <w:rPr>
          <w:rFonts w:ascii="Bookman Old Style" w:eastAsia="Arial" w:hAnsi="Bookman Old Style" w:cs="Arial"/>
          <w:sz w:val="20"/>
          <w:szCs w:val="20"/>
        </w:rPr>
      </w:pPr>
      <w:r w:rsidRPr="00840C07">
        <w:rPr>
          <w:rFonts w:ascii="Bookman Old Style" w:eastAsia="Arial" w:hAnsi="Bookman Old Style" w:cs="Arial"/>
          <w:sz w:val="20"/>
          <w:szCs w:val="20"/>
        </w:rPr>
        <w:t>•</w:t>
      </w:r>
      <w:r w:rsidRPr="00840C07">
        <w:rPr>
          <w:rFonts w:ascii="Bookman Old Style" w:eastAsia="Arial" w:hAnsi="Bookman Old Style" w:cs="Arial"/>
          <w:sz w:val="20"/>
          <w:szCs w:val="20"/>
        </w:rPr>
        <w:tab/>
      </w:r>
      <w:r w:rsidR="00EC4CBC" w:rsidRPr="00EC4CBC">
        <w:rPr>
          <w:rFonts w:ascii="Bookman Old Style" w:eastAsia="Arial" w:hAnsi="Bookman Old Style" w:cs="Arial"/>
          <w:sz w:val="20"/>
          <w:szCs w:val="20"/>
        </w:rPr>
        <w:t>Analýza stávajících parametrů osvětlení:</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Mapová část – formát *.shp</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Měřící protokoly – formát *.pdf</w:t>
      </w:r>
    </w:p>
    <w:p w:rsidR="0026506F" w:rsidRDefault="0026506F"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Pr>
          <w:rFonts w:ascii="Bookman Old Style" w:eastAsia="Arial" w:hAnsi="Bookman Old Style" w:cs="Arial"/>
          <w:sz w:val="20"/>
          <w:szCs w:val="20"/>
        </w:rPr>
        <w:t>Analýza současného stavu a trendů v oblasti veřejného osvětlení – formát *.pdf</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Roční náklady na obnovu a modernizaci veřejného osvětlení – formát *.xls, *.dbf nebo *.csv</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Soupis základních zařízení – formát *.xls, *.dbf nebo *.csv</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Harmonogram obnovy a modernizace:</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Databázová část – formát *.xls, *.dbf nebo *.csv</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Mapová část – formát *.shp</w:t>
      </w:r>
    </w:p>
    <w:p w:rsidR="00B00BAB" w:rsidRDefault="00B00BAB" w:rsidP="008537DD">
      <w:pPr>
        <w:spacing w:before="120" w:after="0" w:line="240" w:lineRule="auto"/>
        <w:jc w:val="both"/>
        <w:rPr>
          <w:rFonts w:ascii="Bookman Old Style" w:eastAsia="Arial" w:hAnsi="Bookman Old Style" w:cs="Arial"/>
          <w:b/>
          <w:sz w:val="20"/>
          <w:szCs w:val="20"/>
        </w:rPr>
      </w:pPr>
    </w:p>
    <w:p w:rsidR="008537DD" w:rsidRPr="00AE29F2" w:rsidRDefault="008537DD" w:rsidP="008537DD">
      <w:pPr>
        <w:spacing w:before="120" w:after="0" w:line="240" w:lineRule="auto"/>
        <w:jc w:val="both"/>
        <w:rPr>
          <w:rFonts w:ascii="Bookman Old Style" w:eastAsia="Arial" w:hAnsi="Bookman Old Style" w:cs="Arial"/>
          <w:b/>
          <w:sz w:val="20"/>
          <w:szCs w:val="20"/>
        </w:rPr>
      </w:pPr>
      <w:r w:rsidRPr="00AE29F2">
        <w:rPr>
          <w:rFonts w:ascii="Bookman Old Style" w:eastAsia="Arial" w:hAnsi="Bookman Old Style" w:cs="Arial"/>
          <w:b/>
          <w:sz w:val="20"/>
          <w:szCs w:val="20"/>
        </w:rPr>
        <w:t>A</w:t>
      </w:r>
      <w:r>
        <w:rPr>
          <w:rFonts w:ascii="Bookman Old Style" w:eastAsia="Arial" w:hAnsi="Bookman Old Style" w:cs="Arial"/>
          <w:b/>
          <w:sz w:val="20"/>
          <w:szCs w:val="20"/>
        </w:rPr>
        <w:t>ktualizace pasportu VO</w:t>
      </w:r>
    </w:p>
    <w:p w:rsidR="008537DD" w:rsidRPr="00EC4CBC" w:rsidRDefault="008537DD" w:rsidP="00D34486">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Výstupem </w:t>
      </w:r>
      <w:r w:rsidR="001D3B64">
        <w:rPr>
          <w:rFonts w:ascii="Bookman Old Style" w:eastAsia="Arial" w:hAnsi="Bookman Old Style" w:cs="Arial"/>
          <w:sz w:val="20"/>
          <w:szCs w:val="20"/>
        </w:rPr>
        <w:t xml:space="preserve">databázové části </w:t>
      </w:r>
      <w:r w:rsidRPr="00EC4CBC">
        <w:rPr>
          <w:rFonts w:ascii="Bookman Old Style" w:eastAsia="Arial" w:hAnsi="Bookman Old Style" w:cs="Arial"/>
          <w:sz w:val="20"/>
          <w:szCs w:val="20"/>
        </w:rPr>
        <w:t xml:space="preserve">je </w:t>
      </w:r>
      <w:r>
        <w:rPr>
          <w:rFonts w:ascii="Bookman Old Style" w:eastAsia="Arial" w:hAnsi="Bookman Old Style" w:cs="Arial"/>
          <w:sz w:val="20"/>
          <w:szCs w:val="20"/>
        </w:rPr>
        <w:t xml:space="preserve">aktualizace stávajícího pasportu VO na základě vizuální kontroly každého zařízení </w:t>
      </w:r>
      <w:r w:rsidRPr="00EC4CBC">
        <w:rPr>
          <w:rFonts w:ascii="Bookman Old Style" w:eastAsia="Arial" w:hAnsi="Bookman Old Style" w:cs="Arial"/>
          <w:sz w:val="20"/>
          <w:szCs w:val="20"/>
        </w:rPr>
        <w:t>v tomto členění:</w:t>
      </w:r>
    </w:p>
    <w:p w:rsidR="006770BB" w:rsidRDefault="008537DD"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913E81">
        <w:rPr>
          <w:rFonts w:ascii="Bookman Old Style" w:eastAsia="Arial" w:hAnsi="Bookman Old Style" w:cs="Arial"/>
          <w:sz w:val="20"/>
          <w:szCs w:val="20"/>
        </w:rPr>
        <w:t>Základní informace:</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Číslo zařízení</w:t>
      </w:r>
      <w:r w:rsidRPr="00EC4CBC">
        <w:rPr>
          <w:rFonts w:ascii="Bookman Old Style" w:eastAsia="Arial" w:hAnsi="Bookman Old Style" w:cs="Arial"/>
          <w:sz w:val="20"/>
          <w:szCs w:val="20"/>
        </w:rPr>
        <w:t xml:space="preserve"> </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zařízení</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Název ulice</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Číslo rozváděče VO</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Platnost revizí VO</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Platnost dalších pravidelných činností preventivní údržby, které se na zařízení VO provádějí</w:t>
      </w:r>
    </w:p>
    <w:p w:rsidR="001D3B64" w:rsidRDefault="001D3B64"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Fyzický stav stožáru (zejména v místě vetknutí do země) </w:t>
      </w:r>
    </w:p>
    <w:p w:rsidR="00913E81" w:rsidRDefault="00913E81" w:rsidP="00B00BAB">
      <w:pPr>
        <w:spacing w:after="0" w:line="240" w:lineRule="auto"/>
        <w:ind w:left="426" w:hanging="426"/>
        <w:jc w:val="both"/>
        <w:rPr>
          <w:rFonts w:ascii="Bookman Old Style" w:eastAsia="Arial" w:hAnsi="Bookman Old Style" w:cs="Arial"/>
          <w:sz w:val="20"/>
          <w:szCs w:val="20"/>
        </w:rPr>
      </w:pPr>
    </w:p>
    <w:p w:rsidR="00913E81" w:rsidRDefault="00913E81"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Pr>
          <w:rFonts w:ascii="Bookman Old Style" w:eastAsia="Arial" w:hAnsi="Bookman Old Style" w:cs="Arial"/>
          <w:sz w:val="20"/>
          <w:szCs w:val="20"/>
        </w:rPr>
        <w:t>Konstrukční prvky:</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Číslo zařízení</w:t>
      </w:r>
      <w:r w:rsidRPr="00EC4CBC">
        <w:rPr>
          <w:rFonts w:ascii="Bookman Old Style" w:eastAsia="Arial" w:hAnsi="Bookman Old Style" w:cs="Arial"/>
          <w:sz w:val="20"/>
          <w:szCs w:val="20"/>
        </w:rPr>
        <w:t xml:space="preserve"> </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napájecího kabelu</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Stáří silového kabelu (z podkladů města nebo orientačně)</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svorkovnice</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stožáru a jeho výška</w:t>
      </w:r>
    </w:p>
    <w:p w:rsidR="002D6C34" w:rsidRDefault="002D6C34"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Stáří stožáru</w:t>
      </w:r>
      <w:r w:rsidR="00986B20">
        <w:rPr>
          <w:rFonts w:ascii="Bookman Old Style" w:eastAsia="Arial" w:hAnsi="Bookman Old Style" w:cs="Arial"/>
          <w:sz w:val="20"/>
          <w:szCs w:val="20"/>
        </w:rPr>
        <w:t xml:space="preserve"> (z podkladů města nebo orientačně)</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Typ patice stožáru </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nástavce a jeho délka</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výložníku a jeho délka v</w:t>
      </w:r>
      <w:r w:rsidR="00385320">
        <w:rPr>
          <w:rFonts w:ascii="Bookman Old Style" w:eastAsia="Arial" w:hAnsi="Bookman Old Style" w:cs="Arial"/>
          <w:sz w:val="20"/>
          <w:szCs w:val="20"/>
        </w:rPr>
        <w:t>y</w:t>
      </w:r>
      <w:r>
        <w:rPr>
          <w:rFonts w:ascii="Bookman Old Style" w:eastAsia="Arial" w:hAnsi="Bookman Old Style" w:cs="Arial"/>
          <w:sz w:val="20"/>
          <w:szCs w:val="20"/>
        </w:rPr>
        <w:t>ložení</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Typ </w:t>
      </w:r>
      <w:r w:rsidR="00385320">
        <w:rPr>
          <w:rFonts w:ascii="Bookman Old Style" w:eastAsia="Arial" w:hAnsi="Bookman Old Style" w:cs="Arial"/>
          <w:sz w:val="20"/>
          <w:szCs w:val="20"/>
        </w:rPr>
        <w:t xml:space="preserve">každého </w:t>
      </w:r>
      <w:r>
        <w:rPr>
          <w:rFonts w:ascii="Bookman Old Style" w:eastAsia="Arial" w:hAnsi="Bookman Old Style" w:cs="Arial"/>
          <w:sz w:val="20"/>
          <w:szCs w:val="20"/>
        </w:rPr>
        <w:t>svítidl</w:t>
      </w:r>
      <w:r w:rsidR="00E107B4">
        <w:rPr>
          <w:rFonts w:ascii="Bookman Old Style" w:eastAsia="Arial" w:hAnsi="Bookman Old Style" w:cs="Arial"/>
          <w:sz w:val="20"/>
          <w:szCs w:val="20"/>
        </w:rPr>
        <w:t>a</w:t>
      </w:r>
    </w:p>
    <w:p w:rsidR="002D6C34" w:rsidRDefault="002D6C34"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Stáří </w:t>
      </w:r>
      <w:r w:rsidR="00385320">
        <w:rPr>
          <w:rFonts w:ascii="Bookman Old Style" w:eastAsia="Arial" w:hAnsi="Bookman Old Style" w:cs="Arial"/>
          <w:sz w:val="20"/>
          <w:szCs w:val="20"/>
        </w:rPr>
        <w:t xml:space="preserve">každého </w:t>
      </w:r>
      <w:r>
        <w:rPr>
          <w:rFonts w:ascii="Bookman Old Style" w:eastAsia="Arial" w:hAnsi="Bookman Old Style" w:cs="Arial"/>
          <w:sz w:val="20"/>
          <w:szCs w:val="20"/>
        </w:rPr>
        <w:t>svítidla</w:t>
      </w:r>
      <w:r w:rsidR="00986B20">
        <w:rPr>
          <w:rFonts w:ascii="Bookman Old Style" w:eastAsia="Arial" w:hAnsi="Bookman Old Style" w:cs="Arial"/>
          <w:sz w:val="20"/>
          <w:szCs w:val="20"/>
        </w:rPr>
        <w:t xml:space="preserve"> (z podkladů města nebo orientačně)</w:t>
      </w:r>
    </w:p>
    <w:p w:rsidR="00E107B4" w:rsidRDefault="00E107B4"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Výkon </w:t>
      </w:r>
      <w:r w:rsidR="00385320">
        <w:rPr>
          <w:rFonts w:ascii="Bookman Old Style" w:eastAsia="Arial" w:hAnsi="Bookman Old Style" w:cs="Arial"/>
          <w:sz w:val="20"/>
          <w:szCs w:val="20"/>
        </w:rPr>
        <w:t xml:space="preserve">každého </w:t>
      </w:r>
      <w:r>
        <w:rPr>
          <w:rFonts w:ascii="Bookman Old Style" w:eastAsia="Arial" w:hAnsi="Bookman Old Style" w:cs="Arial"/>
          <w:sz w:val="20"/>
          <w:szCs w:val="20"/>
        </w:rPr>
        <w:t>svítidla</w:t>
      </w:r>
    </w:p>
    <w:p w:rsidR="00E107B4" w:rsidRDefault="00E107B4"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Příkon </w:t>
      </w:r>
      <w:r w:rsidR="00385320">
        <w:rPr>
          <w:rFonts w:ascii="Bookman Old Style" w:eastAsia="Arial" w:hAnsi="Bookman Old Style" w:cs="Arial"/>
          <w:sz w:val="20"/>
          <w:szCs w:val="20"/>
        </w:rPr>
        <w:t xml:space="preserve">každého </w:t>
      </w:r>
      <w:r>
        <w:rPr>
          <w:rFonts w:ascii="Bookman Old Style" w:eastAsia="Arial" w:hAnsi="Bookman Old Style" w:cs="Arial"/>
          <w:sz w:val="20"/>
          <w:szCs w:val="20"/>
        </w:rPr>
        <w:t>svítidla</w:t>
      </w:r>
    </w:p>
    <w:p w:rsidR="00CE4DB5" w:rsidRDefault="00CE4DB5"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 xml:space="preserve">Typ kabelu ke </w:t>
      </w:r>
      <w:r w:rsidR="00385320">
        <w:rPr>
          <w:rFonts w:ascii="Bookman Old Style" w:eastAsia="Arial" w:hAnsi="Bookman Old Style" w:cs="Arial"/>
          <w:sz w:val="20"/>
          <w:szCs w:val="20"/>
        </w:rPr>
        <w:t xml:space="preserve">každému </w:t>
      </w:r>
      <w:r>
        <w:rPr>
          <w:rFonts w:ascii="Bookman Old Style" w:eastAsia="Arial" w:hAnsi="Bookman Old Style" w:cs="Arial"/>
          <w:sz w:val="20"/>
          <w:szCs w:val="20"/>
        </w:rPr>
        <w:t>svítidlu</w:t>
      </w:r>
    </w:p>
    <w:p w:rsidR="00CE4DB5" w:rsidRDefault="00CE4DB5" w:rsidP="00B00BAB">
      <w:pPr>
        <w:spacing w:after="0" w:line="240" w:lineRule="auto"/>
        <w:ind w:left="426" w:hanging="426"/>
        <w:jc w:val="both"/>
        <w:rPr>
          <w:rFonts w:ascii="Bookman Old Style" w:eastAsia="Arial" w:hAnsi="Bookman Old Style" w:cs="Arial"/>
          <w:sz w:val="20"/>
          <w:szCs w:val="20"/>
        </w:rPr>
      </w:pPr>
    </w:p>
    <w:p w:rsidR="00913E81" w:rsidRDefault="00913E81" w:rsidP="00B00BAB">
      <w:pPr>
        <w:spacing w:after="0" w:line="240" w:lineRule="auto"/>
        <w:ind w:left="426" w:hanging="426"/>
        <w:jc w:val="both"/>
        <w:rPr>
          <w:rFonts w:ascii="Bookman Old Style" w:eastAsia="Arial" w:hAnsi="Bookman Old Style" w:cs="Arial"/>
          <w:sz w:val="20"/>
          <w:szCs w:val="20"/>
        </w:rPr>
      </w:pPr>
      <w:bookmarkStart w:id="1" w:name="_Hlk519406542"/>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0F2136">
        <w:rPr>
          <w:rFonts w:ascii="Bookman Old Style" w:eastAsia="Arial" w:hAnsi="Bookman Old Style" w:cs="Arial"/>
          <w:sz w:val="20"/>
          <w:szCs w:val="20"/>
        </w:rPr>
        <w:t>Další připojená nebo připojená zařízení</w:t>
      </w:r>
      <w:r>
        <w:rPr>
          <w:rFonts w:ascii="Bookman Old Style" w:eastAsia="Arial" w:hAnsi="Bookman Old Style" w:cs="Arial"/>
          <w:sz w:val="20"/>
          <w:szCs w:val="20"/>
        </w:rPr>
        <w:t>:</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sidR="000F2136">
        <w:rPr>
          <w:rFonts w:ascii="Bookman Old Style" w:eastAsia="Arial" w:hAnsi="Bookman Old Style" w:cs="Arial"/>
          <w:sz w:val="20"/>
          <w:szCs w:val="20"/>
        </w:rPr>
        <w:t>Číslo zařízení VO</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sidR="000F2136">
        <w:rPr>
          <w:rFonts w:ascii="Bookman Old Style" w:eastAsia="Arial" w:hAnsi="Bookman Old Style" w:cs="Arial"/>
          <w:sz w:val="20"/>
          <w:szCs w:val="20"/>
        </w:rPr>
        <w:t>Číslo rozváděče VO</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sidR="000F2136">
        <w:rPr>
          <w:rFonts w:ascii="Bookman Old Style" w:eastAsia="Arial" w:hAnsi="Bookman Old Style" w:cs="Arial"/>
          <w:sz w:val="20"/>
          <w:szCs w:val="20"/>
        </w:rPr>
        <w:t>Typ zařízení</w:t>
      </w:r>
    </w:p>
    <w:p w:rsidR="00913E81" w:rsidRDefault="00913E81"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sidR="000F2136">
        <w:rPr>
          <w:rFonts w:ascii="Bookman Old Style" w:eastAsia="Arial" w:hAnsi="Bookman Old Style" w:cs="Arial"/>
          <w:sz w:val="20"/>
          <w:szCs w:val="20"/>
        </w:rPr>
        <w:t>Příkon zařízení</w:t>
      </w:r>
    </w:p>
    <w:bookmarkEnd w:id="1"/>
    <w:p w:rsidR="008B43D8" w:rsidRDefault="008B43D8" w:rsidP="00B00BAB">
      <w:pPr>
        <w:spacing w:after="0" w:line="240" w:lineRule="auto"/>
        <w:ind w:left="426" w:hanging="426"/>
        <w:jc w:val="both"/>
        <w:rPr>
          <w:rFonts w:ascii="Bookman Old Style" w:eastAsia="Arial" w:hAnsi="Bookman Old Style" w:cs="Arial"/>
          <w:sz w:val="20"/>
          <w:szCs w:val="20"/>
        </w:rPr>
      </w:pPr>
    </w:p>
    <w:p w:rsidR="008B43D8" w:rsidRDefault="008B43D8"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Pr>
          <w:rFonts w:ascii="Bookman Old Style" w:eastAsia="Arial" w:hAnsi="Bookman Old Style" w:cs="Arial"/>
          <w:sz w:val="20"/>
          <w:szCs w:val="20"/>
        </w:rPr>
        <w:t>Odběrná místa VO:</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Číslo rozváděče VO</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Číslo elektroměru</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EAN</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napájecího kabelu</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Počet fází</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Hodnota hlavního jističe</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Charakteristika hlavního jističe</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Počet vývodů rozváděče VO</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Způsob ovládání rozváděče VO</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rozváděče VO</w:t>
      </w:r>
    </w:p>
    <w:p w:rsidR="008B43D8" w:rsidRDefault="008B43D8"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r>
      <w:r>
        <w:rPr>
          <w:rFonts w:ascii="Bookman Old Style" w:eastAsia="Arial" w:hAnsi="Bookman Old Style" w:cs="Arial"/>
          <w:sz w:val="20"/>
          <w:szCs w:val="20"/>
        </w:rPr>
        <w:t>Typ umístění rozváděče VO</w:t>
      </w:r>
    </w:p>
    <w:p w:rsidR="001D3B64" w:rsidRDefault="008537DD" w:rsidP="001D3B64">
      <w:pPr>
        <w:spacing w:after="0" w:line="240" w:lineRule="auto"/>
        <w:ind w:left="1701"/>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 </w:t>
      </w:r>
    </w:p>
    <w:p w:rsidR="001D3B64" w:rsidRPr="00EC4CBC" w:rsidRDefault="001D3B64" w:rsidP="001D3B64">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Výstupem </w:t>
      </w:r>
      <w:r>
        <w:rPr>
          <w:rFonts w:ascii="Bookman Old Style" w:eastAsia="Arial" w:hAnsi="Bookman Old Style" w:cs="Arial"/>
          <w:sz w:val="20"/>
          <w:szCs w:val="20"/>
        </w:rPr>
        <w:t xml:space="preserve">mapové části </w:t>
      </w:r>
      <w:r w:rsidRPr="00EC4CBC">
        <w:rPr>
          <w:rFonts w:ascii="Bookman Old Style" w:eastAsia="Arial" w:hAnsi="Bookman Old Style" w:cs="Arial"/>
          <w:sz w:val="20"/>
          <w:szCs w:val="20"/>
        </w:rPr>
        <w:t xml:space="preserve">je </w:t>
      </w:r>
      <w:r w:rsidR="0073296E">
        <w:rPr>
          <w:rFonts w:ascii="Bookman Old Style" w:eastAsia="Arial" w:hAnsi="Bookman Old Style" w:cs="Arial"/>
          <w:sz w:val="20"/>
          <w:szCs w:val="20"/>
        </w:rPr>
        <w:t>aktu</w:t>
      </w:r>
      <w:r w:rsidR="00E77FC3">
        <w:rPr>
          <w:rFonts w:ascii="Bookman Old Style" w:eastAsia="Arial" w:hAnsi="Bookman Old Style" w:cs="Arial"/>
          <w:sz w:val="20"/>
          <w:szCs w:val="20"/>
        </w:rPr>
        <w:t xml:space="preserve">alizace </w:t>
      </w:r>
      <w:r w:rsidR="0073296E">
        <w:rPr>
          <w:rFonts w:ascii="Bookman Old Style" w:eastAsia="Arial" w:hAnsi="Bookman Old Style" w:cs="Arial"/>
          <w:sz w:val="20"/>
          <w:szCs w:val="20"/>
        </w:rPr>
        <w:t xml:space="preserve">mapové části </w:t>
      </w:r>
      <w:r>
        <w:rPr>
          <w:rFonts w:ascii="Bookman Old Style" w:eastAsia="Arial" w:hAnsi="Bookman Old Style" w:cs="Arial"/>
          <w:sz w:val="20"/>
          <w:szCs w:val="20"/>
        </w:rPr>
        <w:t xml:space="preserve">pasportu VO každého zařízení </w:t>
      </w:r>
      <w:r w:rsidR="00E77FC3">
        <w:rPr>
          <w:rFonts w:ascii="Bookman Old Style" w:eastAsia="Arial" w:hAnsi="Bookman Old Style" w:cs="Arial"/>
          <w:sz w:val="20"/>
          <w:szCs w:val="20"/>
        </w:rPr>
        <w:t xml:space="preserve">z hlediska jeho umístění </w:t>
      </w:r>
      <w:r w:rsidRPr="00EC4CBC">
        <w:rPr>
          <w:rFonts w:ascii="Bookman Old Style" w:eastAsia="Arial" w:hAnsi="Bookman Old Style" w:cs="Arial"/>
          <w:sz w:val="20"/>
          <w:szCs w:val="20"/>
        </w:rPr>
        <w:t xml:space="preserve">v tomto </w:t>
      </w:r>
      <w:r w:rsidR="00E77FC3">
        <w:rPr>
          <w:rFonts w:ascii="Bookman Old Style" w:eastAsia="Arial" w:hAnsi="Bookman Old Style" w:cs="Arial"/>
          <w:sz w:val="20"/>
          <w:szCs w:val="20"/>
        </w:rPr>
        <w:t>rozsahu</w:t>
      </w:r>
      <w:r w:rsidRPr="00EC4CBC">
        <w:rPr>
          <w:rFonts w:ascii="Bookman Old Style" w:eastAsia="Arial" w:hAnsi="Bookman Old Style" w:cs="Arial"/>
          <w:sz w:val="20"/>
          <w:szCs w:val="20"/>
        </w:rPr>
        <w:t>:</w:t>
      </w:r>
    </w:p>
    <w:p w:rsidR="0073296E" w:rsidRDefault="001D3B64"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E77FC3">
        <w:rPr>
          <w:rFonts w:ascii="Bookman Old Style" w:eastAsia="Arial" w:hAnsi="Bookman Old Style" w:cs="Arial"/>
          <w:sz w:val="20"/>
          <w:szCs w:val="20"/>
        </w:rPr>
        <w:t>S</w:t>
      </w:r>
      <w:r w:rsidR="0004760B">
        <w:rPr>
          <w:rFonts w:ascii="Bookman Old Style" w:eastAsia="Arial" w:hAnsi="Bookman Old Style" w:cs="Arial"/>
          <w:sz w:val="20"/>
          <w:szCs w:val="20"/>
        </w:rPr>
        <w:t>větelné místo (s</w:t>
      </w:r>
      <w:r w:rsidR="0073296E">
        <w:rPr>
          <w:rFonts w:ascii="Bookman Old Style" w:eastAsia="Arial" w:hAnsi="Bookman Old Style" w:cs="Arial"/>
          <w:sz w:val="20"/>
          <w:szCs w:val="20"/>
        </w:rPr>
        <w:t>tožár VO</w:t>
      </w:r>
      <w:r w:rsidR="0004760B">
        <w:rPr>
          <w:rFonts w:ascii="Bookman Old Style" w:eastAsia="Arial" w:hAnsi="Bookman Old Style" w:cs="Arial"/>
          <w:sz w:val="20"/>
          <w:szCs w:val="20"/>
        </w:rPr>
        <w:t xml:space="preserve">, výložník se svítidlem na stěně apod.) </w:t>
      </w:r>
    </w:p>
    <w:p w:rsidR="00E77FC3" w:rsidRDefault="0073296E"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E77FC3">
        <w:rPr>
          <w:rFonts w:ascii="Bookman Old Style" w:eastAsia="Arial" w:hAnsi="Bookman Old Style" w:cs="Arial"/>
          <w:sz w:val="20"/>
          <w:szCs w:val="20"/>
        </w:rPr>
        <w:t>Rozváděč VO</w:t>
      </w:r>
    </w:p>
    <w:p w:rsidR="00E77FC3" w:rsidRDefault="0073296E"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E77FC3">
        <w:rPr>
          <w:rFonts w:ascii="Bookman Old Style" w:eastAsia="Arial" w:hAnsi="Bookman Old Style" w:cs="Arial"/>
          <w:sz w:val="20"/>
          <w:szCs w:val="20"/>
        </w:rPr>
        <w:t>Dělící skříň</w:t>
      </w:r>
    </w:p>
    <w:p w:rsidR="00E77FC3" w:rsidRDefault="0073296E"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r>
      <w:r w:rsidR="00E77FC3">
        <w:rPr>
          <w:rFonts w:ascii="Bookman Old Style" w:eastAsia="Arial" w:hAnsi="Bookman Old Style" w:cs="Arial"/>
          <w:sz w:val="20"/>
          <w:szCs w:val="20"/>
        </w:rPr>
        <w:t>Silový kabel</w:t>
      </w:r>
    </w:p>
    <w:p w:rsidR="0073296E" w:rsidRDefault="0073296E" w:rsidP="001D3B64">
      <w:pPr>
        <w:spacing w:after="0" w:line="240" w:lineRule="auto"/>
        <w:jc w:val="both"/>
        <w:rPr>
          <w:rFonts w:ascii="Bookman Old Style" w:eastAsia="Arial" w:hAnsi="Bookman Old Style" w:cs="Arial"/>
          <w:sz w:val="20"/>
          <w:szCs w:val="20"/>
        </w:rPr>
      </w:pPr>
    </w:p>
    <w:p w:rsidR="00C00637" w:rsidRPr="00AE29F2" w:rsidRDefault="009841B5" w:rsidP="00C00637">
      <w:pPr>
        <w:spacing w:before="120" w:after="0" w:line="240" w:lineRule="auto"/>
        <w:jc w:val="both"/>
        <w:rPr>
          <w:rFonts w:ascii="Bookman Old Style" w:eastAsia="Arial" w:hAnsi="Bookman Old Style" w:cs="Arial"/>
          <w:b/>
          <w:sz w:val="20"/>
          <w:szCs w:val="20"/>
        </w:rPr>
      </w:pPr>
      <w:r>
        <w:rPr>
          <w:rFonts w:ascii="Bookman Old Style" w:eastAsia="Arial" w:hAnsi="Bookman Old Style" w:cs="Arial"/>
          <w:b/>
          <w:sz w:val="20"/>
          <w:szCs w:val="20"/>
        </w:rPr>
        <w:t>M</w:t>
      </w:r>
      <w:r w:rsidR="00C00637">
        <w:rPr>
          <w:rFonts w:ascii="Bookman Old Style" w:eastAsia="Arial" w:hAnsi="Bookman Old Style" w:cs="Arial"/>
          <w:b/>
          <w:sz w:val="20"/>
          <w:szCs w:val="20"/>
        </w:rPr>
        <w:t>ěření mechanické kontroly stožárů VO Rochovou metodou</w:t>
      </w:r>
    </w:p>
    <w:p w:rsidR="009841B5" w:rsidRDefault="00C00637" w:rsidP="00C00637">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Výstupem je </w:t>
      </w:r>
      <w:r w:rsidR="009841B5">
        <w:rPr>
          <w:rFonts w:ascii="Bookman Old Style" w:eastAsia="Arial" w:hAnsi="Bookman Old Style" w:cs="Arial"/>
          <w:sz w:val="20"/>
          <w:szCs w:val="20"/>
        </w:rPr>
        <w:t xml:space="preserve">protokol výsledku měření 200 ks stožárů s nekritičtějším stavem mechanické pevnosti stožárů zjištěných vizuální kontrolou. Protokol bude obsahovat </w:t>
      </w:r>
      <w:r w:rsidR="00D52572">
        <w:rPr>
          <w:rFonts w:ascii="Bookman Old Style" w:eastAsia="Arial" w:hAnsi="Bookman Old Style" w:cs="Arial"/>
          <w:sz w:val="20"/>
          <w:szCs w:val="20"/>
        </w:rPr>
        <w:t>naměřené hodnoty aktuálního stavu mechanické pevnosti nosné části stožáru VO s doporučením dalšího řešení.</w:t>
      </w:r>
      <w:r w:rsidR="0017534A">
        <w:rPr>
          <w:rFonts w:ascii="Bookman Old Style" w:eastAsia="Arial" w:hAnsi="Bookman Old Style" w:cs="Arial"/>
          <w:sz w:val="20"/>
          <w:szCs w:val="20"/>
        </w:rPr>
        <w:t xml:space="preserve"> </w:t>
      </w:r>
    </w:p>
    <w:p w:rsidR="00EC4CBC" w:rsidRPr="00AE29F2" w:rsidRDefault="00EC4CBC" w:rsidP="00EC4CBC">
      <w:pPr>
        <w:spacing w:before="120" w:after="0" w:line="240" w:lineRule="auto"/>
        <w:jc w:val="both"/>
        <w:rPr>
          <w:rFonts w:ascii="Bookman Old Style" w:eastAsia="Arial" w:hAnsi="Bookman Old Style" w:cs="Arial"/>
          <w:b/>
          <w:sz w:val="20"/>
          <w:szCs w:val="20"/>
        </w:rPr>
      </w:pPr>
      <w:r w:rsidRPr="00AE29F2">
        <w:rPr>
          <w:rFonts w:ascii="Bookman Old Style" w:eastAsia="Arial" w:hAnsi="Bookman Old Style" w:cs="Arial"/>
          <w:b/>
          <w:sz w:val="20"/>
          <w:szCs w:val="20"/>
        </w:rPr>
        <w:t>Analýza stávajících parametrů osvětlení</w:t>
      </w:r>
    </w:p>
    <w:p w:rsidR="00EC4CBC" w:rsidRPr="00EC4CBC" w:rsidRDefault="00EC4CBC" w:rsidP="00EC4CBC">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Výstupem je vizuální zhodnocení aktuálního stavu osvětlení a změření konkrétních 25 úseků veřejného osvětlení v tomto členění: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Mapová část s vyznačením:</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Míst měření kvality osvětlení pozemní komunikace včetně určení stupně plnění normy takto:</w:t>
      </w:r>
    </w:p>
    <w:p w:rsidR="00EC4CBC" w:rsidRPr="00EC4CBC" w:rsidRDefault="00EC4CBC" w:rsidP="00B00BAB">
      <w:pPr>
        <w:spacing w:after="0" w:line="240" w:lineRule="auto"/>
        <w:ind w:left="993"/>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nevyhovuje normě</w:t>
      </w:r>
    </w:p>
    <w:p w:rsidR="00EC4CBC" w:rsidRPr="00EC4CBC" w:rsidRDefault="00EC4CBC" w:rsidP="00B00BAB">
      <w:pPr>
        <w:spacing w:after="0" w:line="240" w:lineRule="auto"/>
        <w:ind w:left="993"/>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vyhovuje normě</w:t>
      </w:r>
    </w:p>
    <w:p w:rsidR="00EC4CBC" w:rsidRPr="00EC4CBC" w:rsidRDefault="00EC4CBC" w:rsidP="00B00BAB">
      <w:pPr>
        <w:spacing w:after="0" w:line="240" w:lineRule="auto"/>
        <w:ind w:left="993"/>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 xml:space="preserve">Přesvětleno (splnění normy na více než 130%) </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Míst, kde je veřejné osvětlení cloněno s grafickým rozdělením dle příčiny (například zelení)</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Míst, kde veřejné osvětlení působí na své okolí rušivě</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Měřící protokoly, které budou obsahovat:</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Výsledky naměřených hodnot osvětlenosti nebo jasů</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Zhodnocení naměřených hodnot s normovými požadavky</w:t>
      </w:r>
    </w:p>
    <w:p w:rsidR="0026506F" w:rsidRDefault="0026506F" w:rsidP="00EC4CBC">
      <w:pPr>
        <w:spacing w:before="120" w:after="0" w:line="240" w:lineRule="auto"/>
        <w:jc w:val="both"/>
        <w:rPr>
          <w:rFonts w:ascii="Bookman Old Style" w:eastAsia="Arial" w:hAnsi="Bookman Old Style" w:cs="Arial"/>
          <w:b/>
          <w:sz w:val="20"/>
          <w:szCs w:val="20"/>
        </w:rPr>
      </w:pPr>
      <w:r w:rsidRPr="0026506F">
        <w:rPr>
          <w:rFonts w:ascii="Bookman Old Style" w:eastAsia="Arial" w:hAnsi="Bookman Old Style" w:cs="Arial"/>
          <w:b/>
          <w:sz w:val="20"/>
          <w:szCs w:val="20"/>
        </w:rPr>
        <w:t>Analýza současného stavu a trendů v oblasti veřejného osvětlení</w:t>
      </w:r>
    </w:p>
    <w:p w:rsidR="0026506F" w:rsidRDefault="0026506F" w:rsidP="00EC4CBC">
      <w:pPr>
        <w:spacing w:before="120" w:after="0" w:line="240" w:lineRule="auto"/>
        <w:jc w:val="both"/>
        <w:rPr>
          <w:rFonts w:ascii="Bookman Old Style" w:eastAsia="Arial" w:hAnsi="Bookman Old Style" w:cs="Arial"/>
          <w:b/>
          <w:sz w:val="20"/>
          <w:szCs w:val="20"/>
        </w:rPr>
      </w:pPr>
      <w:r w:rsidRPr="00EC4CBC">
        <w:rPr>
          <w:rFonts w:ascii="Bookman Old Style" w:eastAsia="Arial" w:hAnsi="Bookman Old Style" w:cs="Arial"/>
          <w:sz w:val="20"/>
          <w:szCs w:val="20"/>
        </w:rPr>
        <w:t xml:space="preserve">Výstupem této části je </w:t>
      </w:r>
      <w:r>
        <w:rPr>
          <w:rFonts w:ascii="Bookman Old Style" w:eastAsia="Arial" w:hAnsi="Bookman Old Style" w:cs="Arial"/>
          <w:sz w:val="20"/>
          <w:szCs w:val="20"/>
        </w:rPr>
        <w:t>analýza v rozsahu odst. B.1.5.</w:t>
      </w:r>
    </w:p>
    <w:p w:rsidR="00EC4CBC" w:rsidRPr="003045C0" w:rsidRDefault="00EC4CBC" w:rsidP="00EC4CBC">
      <w:pPr>
        <w:spacing w:before="120" w:after="0" w:line="240" w:lineRule="auto"/>
        <w:jc w:val="both"/>
        <w:rPr>
          <w:rFonts w:ascii="Bookman Old Style" w:eastAsia="Arial" w:hAnsi="Bookman Old Style" w:cs="Arial"/>
          <w:b/>
          <w:sz w:val="20"/>
          <w:szCs w:val="20"/>
        </w:rPr>
      </w:pPr>
      <w:r w:rsidRPr="003045C0">
        <w:rPr>
          <w:rFonts w:ascii="Bookman Old Style" w:eastAsia="Arial" w:hAnsi="Bookman Old Style" w:cs="Arial"/>
          <w:b/>
          <w:sz w:val="20"/>
          <w:szCs w:val="20"/>
        </w:rPr>
        <w:t>Roční náklady na obnovu a modernizaci veřejného osvětlení:</w:t>
      </w:r>
    </w:p>
    <w:p w:rsidR="00EC4CBC" w:rsidRPr="00EC4CBC" w:rsidRDefault="00EC4CBC" w:rsidP="00EC4CBC">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Výstupem této části je </w:t>
      </w:r>
      <w:r w:rsidR="005521C2">
        <w:rPr>
          <w:rFonts w:ascii="Bookman Old Style" w:eastAsia="Arial" w:hAnsi="Bookman Old Style" w:cs="Arial"/>
          <w:sz w:val="20"/>
          <w:szCs w:val="20"/>
        </w:rPr>
        <w:t xml:space="preserve">analýza provozních nákladů za posledních 5 let v dělení dle odst. B.1.4 včetně </w:t>
      </w:r>
      <w:r w:rsidRPr="00EC4CBC">
        <w:rPr>
          <w:rFonts w:ascii="Bookman Old Style" w:eastAsia="Arial" w:hAnsi="Bookman Old Style" w:cs="Arial"/>
          <w:sz w:val="20"/>
          <w:szCs w:val="20"/>
        </w:rPr>
        <w:t>stanovení ročních nákladů včetně DPH na obnovu a modernizaci veřejného osvětlení, pro potřeby rozpočtu obce na roky 2020 – 2030 a to konkrétně:</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Rok</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Částka na obnovu veřejného osvětlení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Částka na modernizaci veřejného osvětlení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Částka celkem</w:t>
      </w:r>
    </w:p>
    <w:p w:rsidR="00EC4CBC" w:rsidRPr="003045C0" w:rsidRDefault="00EC4CBC" w:rsidP="00EC4CBC">
      <w:pPr>
        <w:spacing w:before="120" w:after="0" w:line="240" w:lineRule="auto"/>
        <w:jc w:val="both"/>
        <w:rPr>
          <w:rFonts w:ascii="Bookman Old Style" w:eastAsia="Arial" w:hAnsi="Bookman Old Style" w:cs="Arial"/>
          <w:b/>
          <w:sz w:val="20"/>
          <w:szCs w:val="20"/>
        </w:rPr>
      </w:pPr>
      <w:r w:rsidRPr="003045C0">
        <w:rPr>
          <w:rFonts w:ascii="Bookman Old Style" w:eastAsia="Arial" w:hAnsi="Bookman Old Style" w:cs="Arial"/>
          <w:b/>
          <w:sz w:val="20"/>
          <w:szCs w:val="20"/>
        </w:rPr>
        <w:t>Soupis základních zařízení:</w:t>
      </w:r>
    </w:p>
    <w:p w:rsidR="00EC4CBC" w:rsidRPr="00EC4CBC" w:rsidRDefault="00065628" w:rsidP="00EC4CBC">
      <w:pPr>
        <w:spacing w:before="120" w:after="0" w:line="240" w:lineRule="auto"/>
        <w:jc w:val="both"/>
        <w:rPr>
          <w:rFonts w:ascii="Bookman Old Style" w:eastAsia="Arial" w:hAnsi="Bookman Old Style" w:cs="Arial"/>
          <w:sz w:val="20"/>
          <w:szCs w:val="20"/>
        </w:rPr>
      </w:pPr>
      <w:r>
        <w:rPr>
          <w:rFonts w:ascii="Bookman Old Style" w:eastAsia="Arial" w:hAnsi="Bookman Old Style" w:cs="Arial"/>
          <w:sz w:val="20"/>
          <w:szCs w:val="20"/>
        </w:rPr>
        <w:t>V</w:t>
      </w:r>
      <w:r w:rsidR="00EC4CBC" w:rsidRPr="00EC4CBC">
        <w:rPr>
          <w:rFonts w:ascii="Bookman Old Style" w:eastAsia="Arial" w:hAnsi="Bookman Old Style" w:cs="Arial"/>
          <w:sz w:val="20"/>
          <w:szCs w:val="20"/>
        </w:rPr>
        <w:t>ýstupem je soupis základních zařízení (svítidel, nosných konstrukcí, kabelů, vybavení rozváděčů VO</w:t>
      </w:r>
      <w:r w:rsidR="00BC54DD">
        <w:rPr>
          <w:rFonts w:ascii="Bookman Old Style" w:eastAsia="Arial" w:hAnsi="Bookman Old Style" w:cs="Arial"/>
          <w:sz w:val="20"/>
          <w:szCs w:val="20"/>
        </w:rPr>
        <w:t xml:space="preserve"> </w:t>
      </w:r>
      <w:r w:rsidR="00EC4CBC" w:rsidRPr="00EC4CBC">
        <w:rPr>
          <w:rFonts w:ascii="Bookman Old Style" w:eastAsia="Arial" w:hAnsi="Bookman Old Style" w:cs="Arial"/>
          <w:sz w:val="20"/>
          <w:szCs w:val="20"/>
        </w:rPr>
        <w:t xml:space="preserve">zapínacích míst apod.) pro obnovu a modernizace veřejného osvětlení včetně specifikace technických parametrů, kvalitativních požadavků a cenové úrovně a to konkrétně: </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Číslo zařízení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Typ zařízení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Název ulice</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Číslo rozváděče VO</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Stav stožáru v místě vetknutí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Stáří zařízení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Plán obnovy a modernizace (rok)</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Svítidlo</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Technické parametry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Kvalitativní požadavky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Cenová úroveň</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Nosná konstrukce</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Technické parametry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Kvalitativní požadavky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Cenová úroveň</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Silový kabel</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Technické parametry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Kvalitativní požadavky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Cenová úroveň</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Rozváděč VO s vybavením</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Technické parametry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Kvalitativní požadavky</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Cenová úroveň</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Cenová úroveň celkem</w:t>
      </w:r>
    </w:p>
    <w:p w:rsidR="00EC4CBC" w:rsidRPr="00EC4CBC" w:rsidRDefault="00EC4CBC" w:rsidP="00EC4CBC">
      <w:pPr>
        <w:spacing w:before="120" w:after="0" w:line="240" w:lineRule="auto"/>
        <w:jc w:val="both"/>
        <w:rPr>
          <w:rFonts w:ascii="Bookman Old Style" w:eastAsia="Arial" w:hAnsi="Bookman Old Style" w:cs="Arial"/>
          <w:b/>
          <w:sz w:val="20"/>
          <w:szCs w:val="20"/>
        </w:rPr>
      </w:pPr>
      <w:r w:rsidRPr="00EC4CBC">
        <w:rPr>
          <w:rFonts w:ascii="Bookman Old Style" w:eastAsia="Arial" w:hAnsi="Bookman Old Style" w:cs="Arial"/>
          <w:b/>
          <w:sz w:val="20"/>
          <w:szCs w:val="20"/>
        </w:rPr>
        <w:t>Harmonogram obnovy a modernizace:</w:t>
      </w:r>
    </w:p>
    <w:p w:rsidR="00EC4CBC" w:rsidRPr="00EC4CBC" w:rsidRDefault="00EC4CBC" w:rsidP="00EC4CBC">
      <w:pPr>
        <w:spacing w:before="120" w:after="0" w:line="240" w:lineRule="auto"/>
        <w:jc w:val="both"/>
        <w:rPr>
          <w:rFonts w:ascii="Bookman Old Style" w:eastAsia="Arial" w:hAnsi="Bookman Old Style" w:cs="Arial"/>
          <w:sz w:val="20"/>
          <w:szCs w:val="20"/>
        </w:rPr>
      </w:pPr>
      <w:r w:rsidRPr="00EC4CBC">
        <w:rPr>
          <w:rFonts w:ascii="Bookman Old Style" w:eastAsia="Arial" w:hAnsi="Bookman Old Style" w:cs="Arial"/>
          <w:sz w:val="20"/>
          <w:szCs w:val="20"/>
        </w:rPr>
        <w:t xml:space="preserve">Posledním výstupem je harmonogram obnovy a modernizace s vyčíslením odhadovaných nákladů, který bude zpracován v databázové podobě a mapovém zobrazení.  </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Rok obnovy a modernizace veřejného osvětlení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Číslo rozváděče VO s konkrétním uvedením rozsahu plánu a obnovy veřejného osvětlení a to uvedením:</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 xml:space="preserve">Počtu svítidel pro konkrétní rozváděč VO </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Počtu nosných konstrukcí pro konkrétní rozváděč VO</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Počtu úseků silových kabelů pro konkrétní rozváděč VO</w:t>
      </w:r>
    </w:p>
    <w:p w:rsidR="00EC4CBC" w:rsidRPr="00EC4CBC" w:rsidRDefault="00EC4CBC" w:rsidP="00B00BAB">
      <w:pPr>
        <w:spacing w:after="0" w:line="240" w:lineRule="auto"/>
        <w:ind w:left="993"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o</w:t>
      </w:r>
      <w:r w:rsidRPr="00EC4CBC">
        <w:rPr>
          <w:rFonts w:ascii="Bookman Old Style" w:eastAsia="Arial" w:hAnsi="Bookman Old Style" w:cs="Arial"/>
          <w:sz w:val="20"/>
          <w:szCs w:val="20"/>
        </w:rPr>
        <w:tab/>
        <w:t xml:space="preserve">Rozsahu obnovy a modernizace </w:t>
      </w:r>
      <w:r w:rsidR="0047616C">
        <w:rPr>
          <w:rFonts w:ascii="Bookman Old Style" w:eastAsia="Arial" w:hAnsi="Bookman Old Style" w:cs="Arial"/>
          <w:sz w:val="20"/>
          <w:szCs w:val="20"/>
        </w:rPr>
        <w:t>zařízení</w:t>
      </w:r>
      <w:r w:rsidRPr="00EC4CBC">
        <w:rPr>
          <w:rFonts w:ascii="Bookman Old Style" w:eastAsia="Arial" w:hAnsi="Bookman Old Style" w:cs="Arial"/>
          <w:sz w:val="20"/>
          <w:szCs w:val="20"/>
        </w:rPr>
        <w:t xml:space="preserve"> VO</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Souhrn odhadovaných nákladů za rozváděč VO a připojené zařízení</w:t>
      </w:r>
    </w:p>
    <w:p w:rsidR="00EC4CBC" w:rsidRPr="00EC4CBC" w:rsidRDefault="00EC4CBC" w:rsidP="00B00BAB">
      <w:pPr>
        <w:spacing w:after="0" w:line="240" w:lineRule="auto"/>
        <w:ind w:left="426" w:hanging="426"/>
        <w:jc w:val="both"/>
        <w:rPr>
          <w:rFonts w:ascii="Bookman Old Style" w:eastAsia="Arial" w:hAnsi="Bookman Old Style" w:cs="Arial"/>
          <w:sz w:val="20"/>
          <w:szCs w:val="20"/>
        </w:rPr>
      </w:pPr>
      <w:r w:rsidRPr="00EC4CBC">
        <w:rPr>
          <w:rFonts w:ascii="Bookman Old Style" w:eastAsia="Arial" w:hAnsi="Bookman Old Style" w:cs="Arial"/>
          <w:sz w:val="20"/>
          <w:szCs w:val="20"/>
        </w:rPr>
        <w:t>•</w:t>
      </w:r>
      <w:r w:rsidRPr="00EC4CBC">
        <w:rPr>
          <w:rFonts w:ascii="Bookman Old Style" w:eastAsia="Arial" w:hAnsi="Bookman Old Style" w:cs="Arial"/>
          <w:sz w:val="20"/>
          <w:szCs w:val="20"/>
        </w:rPr>
        <w:tab/>
        <w:t>Souhrn odhadovaných nákladů za každý rok Plánu obnovy a modernizace VO</w:t>
      </w:r>
    </w:p>
    <w:p w:rsidR="001D5A0E" w:rsidRPr="00987B58" w:rsidRDefault="00EC4CBC" w:rsidP="00EC4CBC">
      <w:pPr>
        <w:spacing w:before="120" w:after="0" w:line="240" w:lineRule="auto"/>
        <w:jc w:val="both"/>
        <w:rPr>
          <w:rFonts w:ascii="Bookman Old Style" w:eastAsia="Arial" w:hAnsi="Bookman Old Style" w:cs="Arial"/>
          <w:b/>
          <w:bCs/>
          <w:i/>
          <w:iCs/>
          <w:sz w:val="20"/>
          <w:szCs w:val="20"/>
        </w:rPr>
      </w:pPr>
      <w:r w:rsidRPr="00EC4CBC">
        <w:rPr>
          <w:rFonts w:ascii="Bookman Old Style" w:eastAsia="Arial" w:hAnsi="Bookman Old Style" w:cs="Arial"/>
          <w:sz w:val="20"/>
          <w:szCs w:val="20"/>
        </w:rPr>
        <w:t>V mapové části budou zaneseny oblasti nebo úseky odpovídající navrhovanému roku Plánu obnovy a modernizace.</w:t>
      </w:r>
    </w:p>
    <w:p w:rsidR="00453F7D" w:rsidRPr="00987B58" w:rsidRDefault="00453F7D" w:rsidP="00987B58">
      <w:pPr>
        <w:tabs>
          <w:tab w:val="left" w:pos="567"/>
          <w:tab w:val="left" w:pos="1134"/>
          <w:tab w:val="left" w:pos="1418"/>
          <w:tab w:val="left" w:pos="1701"/>
        </w:tabs>
        <w:autoSpaceDE w:val="0"/>
        <w:autoSpaceDN w:val="0"/>
        <w:adjustRightInd w:val="0"/>
        <w:spacing w:before="120" w:after="0" w:line="240" w:lineRule="auto"/>
        <w:jc w:val="both"/>
        <w:rPr>
          <w:rFonts w:ascii="Bookman Old Style" w:eastAsia="Arial" w:hAnsi="Bookman Old Style" w:cs="Arial"/>
          <w:sz w:val="20"/>
          <w:szCs w:val="20"/>
        </w:rPr>
      </w:pPr>
    </w:p>
    <w:p w:rsidR="001D5A0E" w:rsidRPr="00987B58" w:rsidRDefault="001D5A0E" w:rsidP="00987B58">
      <w:pPr>
        <w:spacing w:before="120" w:after="0" w:line="240" w:lineRule="auto"/>
        <w:jc w:val="both"/>
        <w:rPr>
          <w:rFonts w:ascii="Bookman Old Style" w:eastAsia="Arial" w:hAnsi="Bookman Old Style" w:cs="Arial"/>
          <w:b/>
          <w:bCs/>
          <w:i/>
          <w:iCs/>
          <w:sz w:val="20"/>
          <w:szCs w:val="20"/>
        </w:rPr>
      </w:pPr>
      <w:r w:rsidRPr="00987B58">
        <w:rPr>
          <w:rFonts w:ascii="Bookman Old Style" w:eastAsia="Arial" w:hAnsi="Bookman Old Style" w:cs="Arial"/>
          <w:b/>
          <w:bCs/>
          <w:i/>
          <w:iCs/>
          <w:sz w:val="20"/>
          <w:szCs w:val="20"/>
        </w:rPr>
        <w:t xml:space="preserve">C. STANDARDY VEŘEJNÉHO OSVĚTLENÍ </w:t>
      </w:r>
    </w:p>
    <w:p w:rsidR="001D5A0E" w:rsidRDefault="00D50C19" w:rsidP="00987B58">
      <w:pPr>
        <w:spacing w:before="120" w:after="0" w:line="240" w:lineRule="auto"/>
        <w:jc w:val="both"/>
        <w:rPr>
          <w:rFonts w:ascii="Bookman Old Style" w:eastAsia="Arial" w:hAnsi="Bookman Old Style" w:cs="Arial"/>
          <w:sz w:val="20"/>
          <w:szCs w:val="20"/>
        </w:rPr>
      </w:pPr>
      <w:r w:rsidRPr="00D50C19">
        <w:rPr>
          <w:rFonts w:ascii="Bookman Old Style" w:eastAsia="Arial" w:hAnsi="Bookman Old Style" w:cs="Arial"/>
          <w:sz w:val="20"/>
          <w:szCs w:val="20"/>
        </w:rPr>
        <w:t>Standardy veřejného osvětlení definují pravidla, postupy a požadavky na jednotlivé činnosti (správa, provoz, údržba, projektování a výstavba veřejného osvětlení), které souvisejí s</w:t>
      </w:r>
      <w:r>
        <w:rPr>
          <w:rFonts w:ascii="Bookman Old Style" w:eastAsia="Arial" w:hAnsi="Bookman Old Style" w:cs="Arial"/>
          <w:sz w:val="20"/>
          <w:szCs w:val="20"/>
        </w:rPr>
        <w:t> </w:t>
      </w:r>
      <w:r w:rsidRPr="00D50C19">
        <w:rPr>
          <w:rFonts w:ascii="Bookman Old Style" w:eastAsia="Arial" w:hAnsi="Bookman Old Style" w:cs="Arial"/>
          <w:sz w:val="20"/>
          <w:szCs w:val="20"/>
        </w:rPr>
        <w:t>veřejným osvětlením a dále technické a kvalitativní požadavky na jednotlivé prvky veřejného osvětlení. Standardy veřejného osvětlení budou tvořit dvě části s následující strukturou</w:t>
      </w:r>
      <w:r w:rsidR="001D5A0E" w:rsidRPr="00987B58">
        <w:rPr>
          <w:rFonts w:ascii="Bookman Old Style" w:eastAsia="Arial" w:hAnsi="Bookman Old Style" w:cs="Arial"/>
          <w:sz w:val="20"/>
          <w:szCs w:val="20"/>
        </w:rPr>
        <w:t xml:space="preserve">: </w:t>
      </w:r>
    </w:p>
    <w:p w:rsidR="00D50C19" w:rsidRPr="00987B58" w:rsidRDefault="00D50C19" w:rsidP="00987B58">
      <w:pPr>
        <w:spacing w:before="120" w:after="0" w:line="240" w:lineRule="auto"/>
        <w:jc w:val="both"/>
        <w:rPr>
          <w:rFonts w:ascii="Bookman Old Style" w:eastAsia="Arial" w:hAnsi="Bookman Old Style" w:cs="Arial"/>
          <w:sz w:val="20"/>
          <w:szCs w:val="20"/>
        </w:rPr>
      </w:pPr>
    </w:p>
    <w:p w:rsidR="001D5A0E" w:rsidRPr="00987B58" w:rsidRDefault="00AC4186" w:rsidP="00987B58">
      <w:pPr>
        <w:spacing w:before="120" w:after="0" w:line="240" w:lineRule="auto"/>
        <w:jc w:val="both"/>
        <w:rPr>
          <w:rFonts w:ascii="Bookman Old Style" w:eastAsia="Arial" w:hAnsi="Bookman Old Style" w:cs="Arial"/>
          <w:b/>
          <w:i/>
          <w:sz w:val="20"/>
          <w:szCs w:val="20"/>
        </w:rPr>
      </w:pPr>
      <w:r w:rsidRPr="00987B58">
        <w:rPr>
          <w:rFonts w:ascii="Bookman Old Style" w:eastAsia="Arial" w:hAnsi="Bookman Old Style" w:cs="Arial"/>
          <w:b/>
          <w:i/>
          <w:sz w:val="20"/>
          <w:szCs w:val="20"/>
        </w:rPr>
        <w:t>C.</w:t>
      </w:r>
      <w:r w:rsidR="001D5A0E" w:rsidRPr="00987B58">
        <w:rPr>
          <w:rFonts w:ascii="Bookman Old Style" w:eastAsia="Arial" w:hAnsi="Bookman Old Style" w:cs="Arial"/>
          <w:b/>
          <w:i/>
          <w:sz w:val="20"/>
          <w:szCs w:val="20"/>
        </w:rPr>
        <w:t>1 Standardy činností VO</w:t>
      </w:r>
    </w:p>
    <w:p w:rsidR="001D5A0E" w:rsidRPr="00987B58" w:rsidRDefault="001D5A0E" w:rsidP="00987B58">
      <w:pPr>
        <w:spacing w:before="120" w:after="0" w:line="240" w:lineRule="auto"/>
        <w:jc w:val="both"/>
        <w:rPr>
          <w:rFonts w:ascii="Bookman Old Style" w:eastAsia="Arial" w:hAnsi="Bookman Old Style" w:cs="Arial"/>
          <w:i/>
          <w:sz w:val="20"/>
          <w:szCs w:val="20"/>
          <w:u w:val="single"/>
        </w:rPr>
      </w:pPr>
      <w:r w:rsidRPr="00987B58">
        <w:rPr>
          <w:rFonts w:ascii="Bookman Old Style" w:eastAsia="Arial" w:hAnsi="Bookman Old Style" w:cs="Arial"/>
          <w:i/>
          <w:sz w:val="20"/>
          <w:szCs w:val="20"/>
          <w:u w:val="single"/>
        </w:rPr>
        <w:t>C.1.1. Právní předpisy a technické normy</w:t>
      </w:r>
    </w:p>
    <w:p w:rsidR="0031595C" w:rsidRPr="0031595C"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Obsahem této části je soupis zákonů, vyhlášek a norem, které mají vliv na kvalitu, bezpečnost a provozuschopnost veřejného osvětlení a podle kterých se řídí činnosti správy, provozu a obnovy veřejného osvětlení.</w:t>
      </w:r>
    </w:p>
    <w:p w:rsidR="0031595C" w:rsidRPr="0031595C" w:rsidRDefault="0031595C" w:rsidP="0031595C">
      <w:pPr>
        <w:spacing w:before="120" w:after="0" w:line="240" w:lineRule="auto"/>
        <w:jc w:val="both"/>
        <w:rPr>
          <w:rFonts w:ascii="Bookman Old Style" w:eastAsia="Arial" w:hAnsi="Bookman Old Style" w:cs="Arial"/>
          <w:i/>
          <w:sz w:val="20"/>
          <w:szCs w:val="20"/>
          <w:u w:val="single"/>
        </w:rPr>
      </w:pPr>
      <w:r w:rsidRPr="0031595C">
        <w:rPr>
          <w:rFonts w:ascii="Bookman Old Style" w:eastAsia="Arial" w:hAnsi="Bookman Old Style" w:cs="Arial"/>
          <w:i/>
          <w:sz w:val="20"/>
          <w:szCs w:val="20"/>
          <w:u w:val="single"/>
        </w:rPr>
        <w:t>C.1.2. Terminologie</w:t>
      </w:r>
    </w:p>
    <w:p w:rsidR="0031595C" w:rsidRPr="0031595C"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V rámci této části jsou podrobně a jednoznačně definovány termíny, které se v oblasti správy, provozu a obnovy veřejného osvětlení používají a zároveň jsou tyto termíny uvedeny v dokumentu.</w:t>
      </w:r>
    </w:p>
    <w:p w:rsidR="0031595C" w:rsidRPr="0031595C" w:rsidRDefault="0031595C" w:rsidP="0031595C">
      <w:pPr>
        <w:spacing w:before="120" w:after="0" w:line="240" w:lineRule="auto"/>
        <w:jc w:val="both"/>
        <w:rPr>
          <w:rFonts w:ascii="Bookman Old Style" w:eastAsia="Arial" w:hAnsi="Bookman Old Style" w:cs="Arial"/>
          <w:i/>
          <w:sz w:val="20"/>
          <w:szCs w:val="20"/>
          <w:u w:val="single"/>
        </w:rPr>
      </w:pPr>
      <w:r w:rsidRPr="0031595C">
        <w:rPr>
          <w:rFonts w:ascii="Bookman Old Style" w:eastAsia="Arial" w:hAnsi="Bookman Old Style" w:cs="Arial"/>
          <w:i/>
          <w:sz w:val="20"/>
          <w:szCs w:val="20"/>
          <w:u w:val="single"/>
        </w:rPr>
        <w:t>C.1.3. Struktura veřejného osvětlení</w:t>
      </w:r>
    </w:p>
    <w:p w:rsidR="0031595C" w:rsidRPr="0031595C"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Tato část je zaměřena na základní technický popis soustavy veřejného osvětlení jako koncepčního, provozuschopného a bezpečného celku. Jedná se především o elektrické přípojky rozváděčů veřejného osvětlení, dále rozváděče, kabelové rozvody, světelná místa veřejného osvětlení včetně systému ovládání a monitoringu.</w:t>
      </w:r>
    </w:p>
    <w:p w:rsidR="0031595C" w:rsidRPr="0031595C" w:rsidRDefault="0031595C" w:rsidP="0031595C">
      <w:pPr>
        <w:spacing w:before="120" w:after="0" w:line="240" w:lineRule="auto"/>
        <w:jc w:val="both"/>
        <w:rPr>
          <w:rFonts w:ascii="Bookman Old Style" w:eastAsia="Arial" w:hAnsi="Bookman Old Style" w:cs="Arial"/>
          <w:i/>
          <w:sz w:val="20"/>
          <w:szCs w:val="20"/>
          <w:u w:val="single"/>
        </w:rPr>
      </w:pPr>
      <w:r w:rsidRPr="0031595C">
        <w:rPr>
          <w:rFonts w:ascii="Bookman Old Style" w:eastAsia="Arial" w:hAnsi="Bookman Old Style" w:cs="Arial"/>
          <w:i/>
          <w:sz w:val="20"/>
          <w:szCs w:val="20"/>
          <w:u w:val="single"/>
        </w:rPr>
        <w:t>C.1.4. Správa VO</w:t>
      </w:r>
    </w:p>
    <w:p w:rsidR="0031595C" w:rsidRPr="0031595C"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 xml:space="preserve">Obsahem této části je souhrnný výčet činností, které se v oblasti správy veřejného osvětlení provádějí seřazených do ucelených celků. </w:t>
      </w:r>
    </w:p>
    <w:p w:rsidR="0031595C" w:rsidRPr="0031595C" w:rsidRDefault="0031595C" w:rsidP="0031595C">
      <w:pPr>
        <w:spacing w:before="120" w:after="0" w:line="240" w:lineRule="auto"/>
        <w:jc w:val="both"/>
        <w:rPr>
          <w:rFonts w:ascii="Bookman Old Style" w:eastAsia="Arial" w:hAnsi="Bookman Old Style" w:cs="Arial"/>
          <w:i/>
          <w:sz w:val="20"/>
          <w:szCs w:val="20"/>
          <w:u w:val="single"/>
        </w:rPr>
      </w:pPr>
      <w:r w:rsidRPr="0031595C">
        <w:rPr>
          <w:rFonts w:ascii="Bookman Old Style" w:eastAsia="Arial" w:hAnsi="Bookman Old Style" w:cs="Arial"/>
          <w:i/>
          <w:sz w:val="20"/>
          <w:szCs w:val="20"/>
          <w:u w:val="single"/>
        </w:rPr>
        <w:t>C.1.5. Provoz a údržba V</w:t>
      </w:r>
      <w:r>
        <w:rPr>
          <w:rFonts w:ascii="Bookman Old Style" w:eastAsia="Arial" w:hAnsi="Bookman Old Style" w:cs="Arial"/>
          <w:i/>
          <w:sz w:val="20"/>
          <w:szCs w:val="20"/>
          <w:u w:val="single"/>
        </w:rPr>
        <w:t>O</w:t>
      </w:r>
    </w:p>
    <w:p w:rsidR="0031595C" w:rsidRPr="0031595C"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Tato část popisuje základní rozdělení a podrobný popis činností provozu a údržby veřejného osvětlení. Je zaměřena zejména na povinnosti dispečerského pracoviště, důsledné rozdělení údržby na preventivní, operativní a havarijní včetně definování činností a pracovních postupů. V oblasti preventivní údržby je zpracován Řád preventivní údržby, který obsahuje provázaný systém preventivní péče o veřejné osvětlení včetně schválení soudním znalcem v</w:t>
      </w:r>
      <w:r>
        <w:rPr>
          <w:rFonts w:ascii="Bookman Old Style" w:eastAsia="Arial" w:hAnsi="Bookman Old Style" w:cs="Arial"/>
          <w:sz w:val="20"/>
          <w:szCs w:val="20"/>
        </w:rPr>
        <w:t> </w:t>
      </w:r>
      <w:r w:rsidRPr="0031595C">
        <w:rPr>
          <w:rFonts w:ascii="Bookman Old Style" w:eastAsia="Arial" w:hAnsi="Bookman Old Style" w:cs="Arial"/>
          <w:sz w:val="20"/>
          <w:szCs w:val="20"/>
        </w:rPr>
        <w:t>oboru elektrotechnických zařízení.</w:t>
      </w:r>
    </w:p>
    <w:p w:rsidR="0031595C" w:rsidRPr="0031595C" w:rsidRDefault="0031595C" w:rsidP="0031595C">
      <w:pPr>
        <w:spacing w:before="120" w:after="0" w:line="240" w:lineRule="auto"/>
        <w:jc w:val="both"/>
        <w:rPr>
          <w:rFonts w:ascii="Bookman Old Style" w:eastAsia="Arial" w:hAnsi="Bookman Old Style" w:cs="Arial"/>
          <w:i/>
          <w:sz w:val="20"/>
          <w:szCs w:val="20"/>
          <w:u w:val="single"/>
        </w:rPr>
      </w:pPr>
      <w:r w:rsidRPr="0031595C">
        <w:rPr>
          <w:rFonts w:ascii="Bookman Old Style" w:eastAsia="Arial" w:hAnsi="Bookman Old Style" w:cs="Arial"/>
          <w:i/>
          <w:sz w:val="20"/>
          <w:szCs w:val="20"/>
          <w:u w:val="single"/>
        </w:rPr>
        <w:t>C.1.6. Projektování VO</w:t>
      </w:r>
    </w:p>
    <w:p w:rsidR="0031595C" w:rsidRPr="0031595C"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Obsahem této části je souhrn požadavků na zpracování projektové dokumentace počínaje soupisem předpisů platných pro projektování, požadavky na obsah projektové dokumentace ve všech úrovních</w:t>
      </w:r>
      <w:r w:rsidR="004937F9">
        <w:rPr>
          <w:rFonts w:ascii="Bookman Old Style" w:eastAsia="Arial" w:hAnsi="Bookman Old Style" w:cs="Arial"/>
          <w:sz w:val="20"/>
          <w:szCs w:val="20"/>
        </w:rPr>
        <w:t>,</w:t>
      </w:r>
      <w:r w:rsidRPr="0031595C">
        <w:rPr>
          <w:rFonts w:ascii="Bookman Old Style" w:eastAsia="Arial" w:hAnsi="Bookman Old Style" w:cs="Arial"/>
          <w:sz w:val="20"/>
          <w:szCs w:val="20"/>
        </w:rPr>
        <w:t xml:space="preserve"> a to od studie, přes dokumentaci pro vydání rozhodnutí o umístění stavby nebo zařízení (DUR), dokumentaci pro provádění stavby (DPS) dokumentaci zadání stavby (DZS) až po dokumentaci skutečného provedení (DSPS). Součástí jsou i zásady staveb v</w:t>
      </w:r>
      <w:r>
        <w:rPr>
          <w:rFonts w:ascii="Bookman Old Style" w:eastAsia="Arial" w:hAnsi="Bookman Old Style" w:cs="Arial"/>
          <w:sz w:val="20"/>
          <w:szCs w:val="20"/>
        </w:rPr>
        <w:t> </w:t>
      </w:r>
      <w:r w:rsidRPr="0031595C">
        <w:rPr>
          <w:rFonts w:ascii="Bookman Old Style" w:eastAsia="Arial" w:hAnsi="Bookman Old Style" w:cs="Arial"/>
          <w:sz w:val="20"/>
          <w:szCs w:val="20"/>
        </w:rPr>
        <w:t>územích se zvláštní ochranou.</w:t>
      </w:r>
    </w:p>
    <w:p w:rsidR="0031595C" w:rsidRPr="0031595C" w:rsidRDefault="0031595C" w:rsidP="0031595C">
      <w:pPr>
        <w:spacing w:before="120" w:after="0" w:line="240" w:lineRule="auto"/>
        <w:jc w:val="both"/>
        <w:rPr>
          <w:rFonts w:ascii="Bookman Old Style" w:eastAsia="Arial" w:hAnsi="Bookman Old Style" w:cs="Arial"/>
          <w:i/>
          <w:sz w:val="20"/>
          <w:szCs w:val="20"/>
          <w:u w:val="single"/>
        </w:rPr>
      </w:pPr>
      <w:r w:rsidRPr="0031595C">
        <w:rPr>
          <w:rFonts w:ascii="Bookman Old Style" w:eastAsia="Arial" w:hAnsi="Bookman Old Style" w:cs="Arial"/>
          <w:i/>
          <w:sz w:val="20"/>
          <w:szCs w:val="20"/>
          <w:u w:val="single"/>
        </w:rPr>
        <w:t>C.1.7. Výstavba VO</w:t>
      </w:r>
    </w:p>
    <w:p w:rsidR="001D5A0E" w:rsidRDefault="0031595C" w:rsidP="0031595C">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Cílem této části je souhrn požadavků na rekonstrukci a nově budované veřejné osvětlení jehož součástí je popis a definování kvality stavebních materiálů použitých při stavbě veřejného osvětlení. Samozřejmostí je i proces přejímacího řízení staveb veřejného osvětlení od popisu průběhu přejímacího řízení, definování požadovaných dokumentů k přejímacímu řízení i návrh rozsahu a úrovně kontroly přebíraného veřejného osvětlení</w:t>
      </w:r>
      <w:r w:rsidR="001D5A0E" w:rsidRPr="00987B58">
        <w:rPr>
          <w:rFonts w:ascii="Bookman Old Style" w:eastAsia="Arial" w:hAnsi="Bookman Old Style" w:cs="Arial"/>
          <w:sz w:val="20"/>
          <w:szCs w:val="20"/>
        </w:rPr>
        <w:t>.</w:t>
      </w:r>
    </w:p>
    <w:p w:rsidR="0031595C" w:rsidRPr="00987B58" w:rsidRDefault="0031595C" w:rsidP="0031595C">
      <w:pPr>
        <w:spacing w:before="120" w:after="0" w:line="240" w:lineRule="auto"/>
        <w:jc w:val="both"/>
        <w:rPr>
          <w:rFonts w:ascii="Bookman Old Style" w:eastAsia="Arial" w:hAnsi="Bookman Old Style" w:cs="Arial"/>
          <w:sz w:val="20"/>
          <w:szCs w:val="20"/>
        </w:rPr>
      </w:pPr>
    </w:p>
    <w:p w:rsidR="001D5A0E" w:rsidRPr="00987B58" w:rsidRDefault="00AC4186" w:rsidP="00987B58">
      <w:pPr>
        <w:spacing w:before="120" w:after="0" w:line="240" w:lineRule="auto"/>
        <w:jc w:val="both"/>
        <w:rPr>
          <w:rFonts w:ascii="Bookman Old Style" w:eastAsia="Arial" w:hAnsi="Bookman Old Style" w:cs="Arial"/>
          <w:b/>
          <w:i/>
          <w:sz w:val="20"/>
          <w:szCs w:val="20"/>
        </w:rPr>
      </w:pPr>
      <w:r w:rsidRPr="00987B58">
        <w:rPr>
          <w:rFonts w:ascii="Bookman Old Style" w:eastAsia="Arial" w:hAnsi="Bookman Old Style" w:cs="Arial"/>
          <w:b/>
          <w:i/>
          <w:sz w:val="20"/>
          <w:szCs w:val="20"/>
        </w:rPr>
        <w:t>C.</w:t>
      </w:r>
      <w:r w:rsidR="001D5A0E" w:rsidRPr="00987B58">
        <w:rPr>
          <w:rFonts w:ascii="Bookman Old Style" w:eastAsia="Arial" w:hAnsi="Bookman Old Style" w:cs="Arial"/>
          <w:b/>
          <w:i/>
          <w:sz w:val="20"/>
          <w:szCs w:val="20"/>
        </w:rPr>
        <w:t>2 Standardy prvků VO</w:t>
      </w:r>
    </w:p>
    <w:p w:rsidR="0031595C" w:rsidRDefault="0031595C" w:rsidP="00987B58">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 xml:space="preserve">V této části se s využitím charakteristických modulů (viz </w:t>
      </w:r>
      <w:r w:rsidRPr="0031595C">
        <w:rPr>
          <w:rFonts w:ascii="Bookman Old Style" w:eastAsia="Arial" w:hAnsi="Bookman Old Style" w:cs="Arial"/>
          <w:i/>
          <w:sz w:val="20"/>
          <w:szCs w:val="20"/>
        </w:rPr>
        <w:t>Základní plán osvětlení</w:t>
      </w:r>
      <w:r w:rsidRPr="0031595C">
        <w:rPr>
          <w:rFonts w:ascii="Bookman Old Style" w:eastAsia="Arial" w:hAnsi="Bookman Old Style" w:cs="Arial"/>
          <w:sz w:val="20"/>
          <w:szCs w:val="20"/>
        </w:rPr>
        <w:t xml:space="preserve">), požadovaných parametrů osvětlení pozemních komunikací a svítidel splňující požadavky na technické parametry (Tcp, Ra, G, ULR) i na ovládání a řízení (viz </w:t>
      </w:r>
      <w:r w:rsidRPr="0031595C">
        <w:rPr>
          <w:rFonts w:ascii="Bookman Old Style" w:eastAsia="Arial" w:hAnsi="Bookman Old Style" w:cs="Arial"/>
          <w:i/>
          <w:sz w:val="20"/>
          <w:szCs w:val="20"/>
        </w:rPr>
        <w:t>Základní plán osvětlení</w:t>
      </w:r>
      <w:r w:rsidRPr="0031595C">
        <w:rPr>
          <w:rFonts w:ascii="Bookman Old Style" w:eastAsia="Arial" w:hAnsi="Bookman Old Style" w:cs="Arial"/>
          <w:sz w:val="20"/>
          <w:szCs w:val="20"/>
        </w:rPr>
        <w:t>) provede návrh rozsahu typů hlavních částí veřejného osvětlení, a to zejména pro zapínací místa, kabely a vedení, nosné konstrukce a svítidla včetně světelných zdrojů</w:t>
      </w:r>
      <w:r>
        <w:rPr>
          <w:rFonts w:ascii="Bookman Old Style" w:eastAsia="Arial" w:hAnsi="Bookman Old Style" w:cs="Arial"/>
          <w:sz w:val="20"/>
          <w:szCs w:val="20"/>
        </w:rPr>
        <w:t>.</w:t>
      </w:r>
    </w:p>
    <w:p w:rsidR="0031595C" w:rsidRDefault="0031595C" w:rsidP="00987B58">
      <w:pPr>
        <w:spacing w:before="120" w:after="0" w:line="240" w:lineRule="auto"/>
        <w:jc w:val="both"/>
        <w:rPr>
          <w:rFonts w:ascii="Bookman Old Style" w:eastAsia="Arial" w:hAnsi="Bookman Old Style" w:cs="Arial"/>
          <w:b/>
          <w:i/>
          <w:sz w:val="20"/>
          <w:szCs w:val="20"/>
        </w:rPr>
      </w:pPr>
    </w:p>
    <w:p w:rsidR="001D5A0E" w:rsidRPr="00987B58" w:rsidRDefault="001D5A0E" w:rsidP="00987B58">
      <w:pPr>
        <w:spacing w:before="120" w:after="0" w:line="240" w:lineRule="auto"/>
        <w:jc w:val="both"/>
        <w:rPr>
          <w:rFonts w:ascii="Bookman Old Style" w:eastAsia="Arial" w:hAnsi="Bookman Old Style" w:cs="Arial"/>
          <w:b/>
          <w:i/>
          <w:sz w:val="20"/>
          <w:szCs w:val="20"/>
        </w:rPr>
      </w:pPr>
      <w:r w:rsidRPr="00987B58">
        <w:rPr>
          <w:rFonts w:ascii="Bookman Old Style" w:eastAsia="Arial" w:hAnsi="Bookman Old Style" w:cs="Arial"/>
          <w:b/>
          <w:i/>
          <w:sz w:val="20"/>
          <w:szCs w:val="20"/>
        </w:rPr>
        <w:t>C.3 Výstup</w:t>
      </w:r>
    </w:p>
    <w:p w:rsidR="001D5A0E" w:rsidRDefault="0031595C" w:rsidP="00987B58">
      <w:pPr>
        <w:spacing w:before="120" w:after="0" w:line="240" w:lineRule="auto"/>
        <w:jc w:val="both"/>
        <w:rPr>
          <w:rFonts w:ascii="Bookman Old Style" w:eastAsia="Arial" w:hAnsi="Bookman Old Style" w:cs="Arial"/>
          <w:sz w:val="20"/>
          <w:szCs w:val="20"/>
        </w:rPr>
      </w:pPr>
      <w:r w:rsidRPr="0031595C">
        <w:rPr>
          <w:rFonts w:ascii="Bookman Old Style" w:eastAsia="Arial" w:hAnsi="Bookman Old Style" w:cs="Arial"/>
          <w:sz w:val="20"/>
          <w:szCs w:val="20"/>
        </w:rPr>
        <w:t xml:space="preserve">Výstupem Standardů veřejného osvětlení jsou </w:t>
      </w:r>
      <w:r w:rsidR="00966D8A">
        <w:rPr>
          <w:rFonts w:ascii="Bookman Old Style" w:eastAsia="Arial" w:hAnsi="Bookman Old Style" w:cs="Arial"/>
          <w:sz w:val="20"/>
          <w:szCs w:val="20"/>
        </w:rPr>
        <w:t xml:space="preserve">v souladu s uvedenými požadavky v částech C.1 Standardy činností VO a C.2 Standardy prvků VO </w:t>
      </w:r>
      <w:r w:rsidRPr="0031595C">
        <w:rPr>
          <w:rFonts w:ascii="Bookman Old Style" w:eastAsia="Arial" w:hAnsi="Bookman Old Style" w:cs="Arial"/>
          <w:sz w:val="20"/>
          <w:szCs w:val="20"/>
        </w:rPr>
        <w:t>dokumenty</w:t>
      </w:r>
      <w:r w:rsidR="00966D8A">
        <w:rPr>
          <w:rFonts w:ascii="Bookman Old Style" w:eastAsia="Arial" w:hAnsi="Bookman Old Style" w:cs="Arial"/>
          <w:sz w:val="20"/>
          <w:szCs w:val="20"/>
        </w:rPr>
        <w:t xml:space="preserve"> ve formátu *.pdf</w:t>
      </w:r>
      <w:r w:rsidRPr="0031595C">
        <w:rPr>
          <w:rFonts w:ascii="Bookman Old Style" w:eastAsia="Arial" w:hAnsi="Bookman Old Style" w:cs="Arial"/>
          <w:sz w:val="20"/>
          <w:szCs w:val="20"/>
        </w:rPr>
        <w:t>, které budou sloužit k definování technických parametrů technické infrastruktury v oblasti veřejného osvětlení a dále k</w:t>
      </w:r>
      <w:r>
        <w:rPr>
          <w:rFonts w:ascii="Bookman Old Style" w:eastAsia="Arial" w:hAnsi="Bookman Old Style" w:cs="Arial"/>
          <w:sz w:val="20"/>
          <w:szCs w:val="20"/>
        </w:rPr>
        <w:t> </w:t>
      </w:r>
      <w:r w:rsidRPr="0031595C">
        <w:rPr>
          <w:rFonts w:ascii="Bookman Old Style" w:eastAsia="Arial" w:hAnsi="Bookman Old Style" w:cs="Arial"/>
          <w:sz w:val="20"/>
          <w:szCs w:val="20"/>
        </w:rPr>
        <w:t>definování rozsahu činností, popisu postupů a stanovení rozsahu funkčních parametrů v</w:t>
      </w:r>
      <w:r>
        <w:rPr>
          <w:rFonts w:ascii="Bookman Old Style" w:eastAsia="Arial" w:hAnsi="Bookman Old Style" w:cs="Arial"/>
          <w:sz w:val="20"/>
          <w:szCs w:val="20"/>
        </w:rPr>
        <w:t> </w:t>
      </w:r>
      <w:r w:rsidRPr="0031595C">
        <w:rPr>
          <w:rFonts w:ascii="Bookman Old Style" w:eastAsia="Arial" w:hAnsi="Bookman Old Style" w:cs="Arial"/>
          <w:sz w:val="20"/>
          <w:szCs w:val="20"/>
        </w:rPr>
        <w:t>oblasti správy, provozu, údržby, projektování a výstavby veřejného osvětlení</w:t>
      </w:r>
      <w:r w:rsidR="001D5A0E" w:rsidRPr="00987B58">
        <w:rPr>
          <w:rFonts w:ascii="Bookman Old Style" w:eastAsia="Arial" w:hAnsi="Bookman Old Style" w:cs="Arial"/>
          <w:sz w:val="20"/>
          <w:szCs w:val="20"/>
        </w:rPr>
        <w:t>.</w:t>
      </w:r>
    </w:p>
    <w:p w:rsidR="000668B7" w:rsidRDefault="000668B7" w:rsidP="0031595C">
      <w:pPr>
        <w:spacing w:before="120" w:after="0" w:line="240" w:lineRule="auto"/>
        <w:jc w:val="both"/>
        <w:rPr>
          <w:rFonts w:ascii="Bookman Old Style" w:eastAsia="Arial" w:hAnsi="Bookman Old Style" w:cs="Arial"/>
          <w:b/>
          <w:sz w:val="20"/>
          <w:szCs w:val="20"/>
        </w:rPr>
      </w:pPr>
    </w:p>
    <w:p w:rsidR="0031595C" w:rsidRPr="0031595C" w:rsidRDefault="0031595C" w:rsidP="0031595C">
      <w:pPr>
        <w:spacing w:before="120" w:after="0" w:line="240" w:lineRule="auto"/>
        <w:jc w:val="both"/>
        <w:rPr>
          <w:rFonts w:ascii="Bookman Old Style" w:eastAsia="Arial" w:hAnsi="Bookman Old Style" w:cs="Arial"/>
          <w:b/>
          <w:sz w:val="20"/>
          <w:szCs w:val="20"/>
        </w:rPr>
      </w:pPr>
      <w:r w:rsidRPr="0031595C">
        <w:rPr>
          <w:rFonts w:ascii="Bookman Old Style" w:eastAsia="Arial" w:hAnsi="Bookman Old Style" w:cs="Arial"/>
          <w:b/>
          <w:sz w:val="20"/>
          <w:szCs w:val="20"/>
        </w:rPr>
        <w:t>3.</w:t>
      </w:r>
      <w:r w:rsidRPr="0031595C">
        <w:rPr>
          <w:rFonts w:ascii="Bookman Old Style" w:eastAsia="Arial" w:hAnsi="Bookman Old Style" w:cs="Arial"/>
          <w:b/>
          <w:sz w:val="20"/>
          <w:szCs w:val="20"/>
        </w:rPr>
        <w:tab/>
        <w:t>SOULAD SE STRATEGICKÝMI DOKUMENTY MĚSTA</w:t>
      </w:r>
    </w:p>
    <w:p w:rsidR="0064775F" w:rsidRPr="001C4623" w:rsidRDefault="0064775F" w:rsidP="0064775F">
      <w:pPr>
        <w:tabs>
          <w:tab w:val="left" w:pos="567"/>
          <w:tab w:val="left" w:pos="1134"/>
          <w:tab w:val="left" w:pos="1701"/>
        </w:tabs>
        <w:autoSpaceDE w:val="0"/>
        <w:autoSpaceDN w:val="0"/>
        <w:adjustRightInd w:val="0"/>
        <w:spacing w:after="0" w:line="240" w:lineRule="auto"/>
        <w:jc w:val="both"/>
        <w:rPr>
          <w:rFonts w:ascii="Bookman Old Style" w:hAnsi="Bookman Old Style" w:cs="Arial"/>
          <w:sz w:val="20"/>
          <w:szCs w:val="20"/>
          <w:highlight w:val="yellow"/>
        </w:rPr>
      </w:pPr>
      <w:r w:rsidRPr="001C4623">
        <w:rPr>
          <w:rFonts w:ascii="Bookman Old Style" w:hAnsi="Bookman Old Style" w:cs="Arial"/>
          <w:sz w:val="20"/>
          <w:szCs w:val="20"/>
        </w:rPr>
        <w:t>Všechny výstupy Koncepce VO musí zajistit soulad s těmito strategickými dokumenty města:</w:t>
      </w:r>
    </w:p>
    <w:p w:rsidR="0064775F" w:rsidRPr="001C4623" w:rsidRDefault="0064775F" w:rsidP="00B00BAB">
      <w:pPr>
        <w:pStyle w:val="Odstavecseseznamem"/>
        <w:numPr>
          <w:ilvl w:val="0"/>
          <w:numId w:val="6"/>
        </w:numPr>
        <w:autoSpaceDE w:val="0"/>
        <w:autoSpaceDN w:val="0"/>
        <w:adjustRightInd w:val="0"/>
        <w:spacing w:after="0" w:line="276" w:lineRule="auto"/>
        <w:ind w:left="426" w:hanging="426"/>
        <w:jc w:val="both"/>
        <w:rPr>
          <w:rFonts w:ascii="Bookman Old Style" w:hAnsi="Bookman Old Style" w:cs="Arial"/>
          <w:sz w:val="20"/>
          <w:szCs w:val="20"/>
        </w:rPr>
      </w:pPr>
      <w:r w:rsidRPr="001C4623">
        <w:rPr>
          <w:rFonts w:ascii="Bookman Old Style" w:hAnsi="Bookman Old Style" w:cs="Arial"/>
          <w:sz w:val="20"/>
          <w:szCs w:val="20"/>
        </w:rPr>
        <w:t>Územní plán města Beroun (03/2017)</w:t>
      </w:r>
    </w:p>
    <w:p w:rsidR="0064775F" w:rsidRPr="001C4623" w:rsidRDefault="0064775F" w:rsidP="00B00BAB">
      <w:pPr>
        <w:pStyle w:val="Odstavecseseznamem"/>
        <w:numPr>
          <w:ilvl w:val="0"/>
          <w:numId w:val="6"/>
        </w:numPr>
        <w:autoSpaceDE w:val="0"/>
        <w:autoSpaceDN w:val="0"/>
        <w:adjustRightInd w:val="0"/>
        <w:spacing w:after="0" w:line="276" w:lineRule="auto"/>
        <w:ind w:left="426" w:hanging="426"/>
        <w:jc w:val="both"/>
        <w:rPr>
          <w:rFonts w:ascii="Bookman Old Style" w:hAnsi="Bookman Old Style" w:cs="Arial"/>
          <w:sz w:val="20"/>
          <w:szCs w:val="20"/>
        </w:rPr>
      </w:pPr>
      <w:r w:rsidRPr="001C4623">
        <w:rPr>
          <w:rFonts w:ascii="Bookman Old Style" w:hAnsi="Bookman Old Style" w:cs="Arial"/>
          <w:sz w:val="20"/>
          <w:szCs w:val="20"/>
        </w:rPr>
        <w:t>Plán rozvoje města Beroun (2018)</w:t>
      </w:r>
    </w:p>
    <w:p w:rsidR="0064775F" w:rsidRPr="001C4623" w:rsidRDefault="0064775F" w:rsidP="00B00BAB">
      <w:pPr>
        <w:pStyle w:val="Odstavecseseznamem"/>
        <w:numPr>
          <w:ilvl w:val="0"/>
          <w:numId w:val="6"/>
        </w:numPr>
        <w:autoSpaceDE w:val="0"/>
        <w:autoSpaceDN w:val="0"/>
        <w:adjustRightInd w:val="0"/>
        <w:spacing w:after="0" w:line="276" w:lineRule="auto"/>
        <w:ind w:left="426" w:hanging="426"/>
        <w:jc w:val="both"/>
        <w:rPr>
          <w:rFonts w:ascii="Bookman Old Style" w:hAnsi="Bookman Old Style" w:cs="Arial"/>
          <w:sz w:val="20"/>
          <w:szCs w:val="20"/>
        </w:rPr>
      </w:pPr>
      <w:r w:rsidRPr="001C4623">
        <w:rPr>
          <w:rFonts w:ascii="Bookman Old Style" w:hAnsi="Bookman Old Style" w:cs="Arial"/>
          <w:sz w:val="20"/>
          <w:szCs w:val="20"/>
        </w:rPr>
        <w:t>Dopravní model včetně dodatku (2013)</w:t>
      </w:r>
    </w:p>
    <w:p w:rsidR="0064775F" w:rsidRPr="001C4623" w:rsidRDefault="0064775F" w:rsidP="00B00BAB">
      <w:pPr>
        <w:pStyle w:val="Odstavecseseznamem"/>
        <w:numPr>
          <w:ilvl w:val="0"/>
          <w:numId w:val="6"/>
        </w:numPr>
        <w:autoSpaceDE w:val="0"/>
        <w:autoSpaceDN w:val="0"/>
        <w:adjustRightInd w:val="0"/>
        <w:spacing w:after="0" w:line="276" w:lineRule="auto"/>
        <w:ind w:left="426" w:hanging="426"/>
        <w:jc w:val="both"/>
        <w:rPr>
          <w:rFonts w:ascii="Bookman Old Style" w:hAnsi="Bookman Old Style" w:cs="Arial"/>
          <w:sz w:val="20"/>
          <w:szCs w:val="20"/>
        </w:rPr>
      </w:pPr>
      <w:r w:rsidRPr="001C4623">
        <w:rPr>
          <w:rFonts w:ascii="Bookman Old Style" w:hAnsi="Bookman Old Style" w:cs="Arial"/>
          <w:sz w:val="20"/>
          <w:szCs w:val="20"/>
        </w:rPr>
        <w:t>Ekologická studie (průběžně aktualizována)</w:t>
      </w:r>
    </w:p>
    <w:p w:rsidR="0064775F" w:rsidRPr="001C4623" w:rsidRDefault="0064775F" w:rsidP="00B00BAB">
      <w:pPr>
        <w:pStyle w:val="Odstavecseseznamem"/>
        <w:numPr>
          <w:ilvl w:val="0"/>
          <w:numId w:val="6"/>
        </w:numPr>
        <w:autoSpaceDE w:val="0"/>
        <w:autoSpaceDN w:val="0"/>
        <w:adjustRightInd w:val="0"/>
        <w:spacing w:after="0" w:line="276" w:lineRule="auto"/>
        <w:ind w:left="426" w:hanging="426"/>
        <w:jc w:val="both"/>
        <w:rPr>
          <w:rFonts w:ascii="Bookman Old Style" w:hAnsi="Bookman Old Style" w:cs="Arial"/>
          <w:sz w:val="20"/>
          <w:szCs w:val="20"/>
        </w:rPr>
      </w:pPr>
      <w:r w:rsidRPr="001C4623">
        <w:rPr>
          <w:rFonts w:ascii="Bookman Old Style" w:hAnsi="Bookman Old Style" w:cs="Arial"/>
          <w:sz w:val="20"/>
          <w:szCs w:val="20"/>
        </w:rPr>
        <w:t>Návrh optimalizace řízení automobilové dopravy na průtahu silnice II/605 v Berouně (2017)</w:t>
      </w:r>
    </w:p>
    <w:p w:rsidR="0064775F" w:rsidRPr="001C4623" w:rsidRDefault="0064775F" w:rsidP="00B00BAB">
      <w:pPr>
        <w:pStyle w:val="Odstavecseseznamem"/>
        <w:numPr>
          <w:ilvl w:val="0"/>
          <w:numId w:val="6"/>
        </w:numPr>
        <w:autoSpaceDE w:val="0"/>
        <w:autoSpaceDN w:val="0"/>
        <w:adjustRightInd w:val="0"/>
        <w:spacing w:after="0" w:line="276" w:lineRule="auto"/>
        <w:ind w:left="426" w:hanging="426"/>
        <w:jc w:val="both"/>
        <w:rPr>
          <w:rFonts w:ascii="Bookman Old Style" w:hAnsi="Bookman Old Style" w:cs="Arial"/>
          <w:sz w:val="20"/>
          <w:szCs w:val="20"/>
        </w:rPr>
      </w:pPr>
      <w:r w:rsidRPr="001C4623">
        <w:rPr>
          <w:rFonts w:ascii="Bookman Old Style" w:hAnsi="Bookman Old Style" w:cs="Arial"/>
          <w:sz w:val="20"/>
          <w:szCs w:val="20"/>
        </w:rPr>
        <w:t>Studie parkování v centrální části města Beroun a prověření navýšení kapacity na sídlišti Plzeňské předměstí</w:t>
      </w:r>
    </w:p>
    <w:p w:rsidR="0064775F" w:rsidRDefault="0064775F" w:rsidP="0064775F">
      <w:pPr>
        <w:tabs>
          <w:tab w:val="left" w:pos="567"/>
          <w:tab w:val="left" w:pos="1134"/>
          <w:tab w:val="left" w:pos="1701"/>
        </w:tabs>
        <w:autoSpaceDE w:val="0"/>
        <w:autoSpaceDN w:val="0"/>
        <w:adjustRightInd w:val="0"/>
        <w:spacing w:after="0" w:line="240" w:lineRule="auto"/>
        <w:jc w:val="both"/>
        <w:rPr>
          <w:rFonts w:ascii="Arial" w:hAnsi="Arial" w:cs="Arial"/>
          <w:sz w:val="20"/>
          <w:szCs w:val="20"/>
        </w:rPr>
      </w:pPr>
    </w:p>
    <w:p w:rsidR="0064775F" w:rsidRPr="001C4623" w:rsidRDefault="0064775F" w:rsidP="0064775F">
      <w:pPr>
        <w:tabs>
          <w:tab w:val="left" w:pos="567"/>
          <w:tab w:val="left" w:pos="1134"/>
          <w:tab w:val="left" w:pos="1701"/>
        </w:tabs>
        <w:autoSpaceDE w:val="0"/>
        <w:autoSpaceDN w:val="0"/>
        <w:adjustRightInd w:val="0"/>
        <w:spacing w:after="0" w:line="240" w:lineRule="auto"/>
        <w:jc w:val="both"/>
        <w:rPr>
          <w:rFonts w:ascii="Bookman Old Style" w:hAnsi="Bookman Old Style" w:cs="Arial"/>
          <w:sz w:val="20"/>
          <w:szCs w:val="20"/>
        </w:rPr>
      </w:pPr>
      <w:r w:rsidRPr="001C4623">
        <w:rPr>
          <w:rFonts w:ascii="Bookman Old Style" w:hAnsi="Bookman Old Style" w:cs="Arial"/>
          <w:sz w:val="20"/>
          <w:szCs w:val="20"/>
        </w:rPr>
        <w:t>Návrhy a změny strategických dokumentů plynoucí z nové Koncepce VO dodavatel předloží v</w:t>
      </w:r>
      <w:r w:rsidR="00B00BAB">
        <w:rPr>
          <w:rFonts w:ascii="Bookman Old Style" w:hAnsi="Bookman Old Style" w:cs="Arial"/>
          <w:sz w:val="20"/>
          <w:szCs w:val="20"/>
        </w:rPr>
        <w:t> </w:t>
      </w:r>
      <w:r w:rsidRPr="001C4623">
        <w:rPr>
          <w:rFonts w:ascii="Bookman Old Style" w:hAnsi="Bookman Old Style" w:cs="Arial"/>
          <w:sz w:val="20"/>
          <w:szCs w:val="20"/>
        </w:rPr>
        <w:t>samostatném přehledu navrhovaných změn těchto dokumentů.</w:t>
      </w:r>
    </w:p>
    <w:p w:rsidR="0031595C" w:rsidRPr="001C4623" w:rsidRDefault="0031595C" w:rsidP="0064775F">
      <w:pPr>
        <w:spacing w:before="120" w:after="0" w:line="240" w:lineRule="auto"/>
        <w:jc w:val="both"/>
        <w:rPr>
          <w:rFonts w:ascii="Bookman Old Style" w:eastAsia="Arial" w:hAnsi="Bookman Old Style" w:cs="Arial"/>
          <w:sz w:val="20"/>
          <w:szCs w:val="20"/>
        </w:rPr>
      </w:pPr>
    </w:p>
    <w:sectPr w:rsidR="0031595C" w:rsidRPr="001C4623" w:rsidSect="004817E1">
      <w:headerReference w:type="default" r:id="rId8"/>
      <w:footerReference w:type="default" r:id="rId9"/>
      <w:pgSz w:w="11906" w:h="16838"/>
      <w:pgMar w:top="1134"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59" w:rsidRDefault="007D6659" w:rsidP="00C01C68">
      <w:pPr>
        <w:spacing w:after="0" w:line="240" w:lineRule="auto"/>
      </w:pPr>
      <w:r>
        <w:separator/>
      </w:r>
    </w:p>
  </w:endnote>
  <w:endnote w:type="continuationSeparator" w:id="0">
    <w:p w:rsidR="007D6659" w:rsidRDefault="007D6659" w:rsidP="00C0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imesCE-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203564"/>
      <w:docPartObj>
        <w:docPartGallery w:val="Page Numbers (Bottom of Page)"/>
        <w:docPartUnique/>
      </w:docPartObj>
    </w:sdtPr>
    <w:sdtEndPr/>
    <w:sdtContent>
      <w:p w:rsidR="00AC31DD" w:rsidRDefault="003E036A">
        <w:pPr>
          <w:pStyle w:val="Zpat"/>
          <w:jc w:val="right"/>
        </w:pPr>
        <w:r>
          <w:fldChar w:fldCharType="begin"/>
        </w:r>
        <w:r w:rsidR="00AC31DD">
          <w:instrText>PAGE   \* MERGEFORMAT</w:instrText>
        </w:r>
        <w:r>
          <w:fldChar w:fldCharType="separate"/>
        </w:r>
        <w:r w:rsidR="0027268D">
          <w:rPr>
            <w:noProof/>
          </w:rPr>
          <w:t>1</w:t>
        </w:r>
        <w:r>
          <w:fldChar w:fldCharType="end"/>
        </w:r>
      </w:p>
    </w:sdtContent>
  </w:sdt>
  <w:p w:rsidR="00AC31DD" w:rsidRDefault="00AC31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59" w:rsidRDefault="007D6659" w:rsidP="00C01C68">
      <w:pPr>
        <w:spacing w:after="0" w:line="240" w:lineRule="auto"/>
      </w:pPr>
      <w:r>
        <w:separator/>
      </w:r>
    </w:p>
  </w:footnote>
  <w:footnote w:type="continuationSeparator" w:id="0">
    <w:p w:rsidR="007D6659" w:rsidRDefault="007D6659" w:rsidP="00C01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44" w:rsidRPr="004817E1" w:rsidRDefault="007917B8" w:rsidP="007917B8">
    <w:pPr>
      <w:pStyle w:val="Zhlav"/>
      <w:jc w:val="right"/>
      <w:rPr>
        <w:rFonts w:ascii="Bookman Old Style" w:hAnsi="Bookman Old Style"/>
        <w:i/>
        <w:sz w:val="18"/>
      </w:rPr>
    </w:pPr>
    <w:r w:rsidRPr="004817E1">
      <w:rPr>
        <w:rFonts w:ascii="Bookman Old Style" w:hAnsi="Bookman Old Style"/>
        <w:i/>
        <w:sz w:val="18"/>
      </w:rPr>
      <w:t>Příloha č. 2 Výzvy – Podrobná specifikace předmětu plnění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A884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3D5D6B83"/>
    <w:multiLevelType w:val="hybridMultilevel"/>
    <w:tmpl w:val="9F96B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642099"/>
    <w:multiLevelType w:val="hybridMultilevel"/>
    <w:tmpl w:val="86A02EF0"/>
    <w:lvl w:ilvl="0" w:tplc="04050001">
      <w:start w:val="1"/>
      <w:numFmt w:val="bullet"/>
      <w:lvlText w:val=""/>
      <w:lvlJc w:val="left"/>
      <w:pPr>
        <w:ind w:left="1283" w:hanging="360"/>
      </w:pPr>
      <w:rPr>
        <w:rFonts w:ascii="Symbol" w:hAnsi="Symbo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3" w15:restartNumberingAfterBreak="0">
    <w:nsid w:val="5DF255F2"/>
    <w:multiLevelType w:val="hybridMultilevel"/>
    <w:tmpl w:val="BE542A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35362B"/>
    <w:multiLevelType w:val="multilevel"/>
    <w:tmpl w:val="8A9852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BE74EC3"/>
    <w:multiLevelType w:val="hybridMultilevel"/>
    <w:tmpl w:val="B3D695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D5"/>
    <w:rsid w:val="000068DF"/>
    <w:rsid w:val="00007BFC"/>
    <w:rsid w:val="00012A46"/>
    <w:rsid w:val="00035C63"/>
    <w:rsid w:val="00036D04"/>
    <w:rsid w:val="000460E7"/>
    <w:rsid w:val="00046B56"/>
    <w:rsid w:val="0004760B"/>
    <w:rsid w:val="00051311"/>
    <w:rsid w:val="000561E9"/>
    <w:rsid w:val="00065628"/>
    <w:rsid w:val="000668B7"/>
    <w:rsid w:val="00071143"/>
    <w:rsid w:val="00075A8F"/>
    <w:rsid w:val="0007671D"/>
    <w:rsid w:val="00077309"/>
    <w:rsid w:val="0008140F"/>
    <w:rsid w:val="000843E1"/>
    <w:rsid w:val="000847A2"/>
    <w:rsid w:val="00085B5A"/>
    <w:rsid w:val="00087023"/>
    <w:rsid w:val="00091BB3"/>
    <w:rsid w:val="00091D09"/>
    <w:rsid w:val="000B1E5C"/>
    <w:rsid w:val="000B59C7"/>
    <w:rsid w:val="000B7572"/>
    <w:rsid w:val="000C55F1"/>
    <w:rsid w:val="000C793B"/>
    <w:rsid w:val="000C7F39"/>
    <w:rsid w:val="000D2688"/>
    <w:rsid w:val="000D7BD0"/>
    <w:rsid w:val="000E4D81"/>
    <w:rsid w:val="000E53C4"/>
    <w:rsid w:val="000E5985"/>
    <w:rsid w:val="000E5F75"/>
    <w:rsid w:val="000E7E63"/>
    <w:rsid w:val="000F1D97"/>
    <w:rsid w:val="000F2136"/>
    <w:rsid w:val="000F2FBA"/>
    <w:rsid w:val="000F5292"/>
    <w:rsid w:val="00110315"/>
    <w:rsid w:val="0011354C"/>
    <w:rsid w:val="00116DAA"/>
    <w:rsid w:val="001174AC"/>
    <w:rsid w:val="00117AD2"/>
    <w:rsid w:val="001200F5"/>
    <w:rsid w:val="001409E0"/>
    <w:rsid w:val="00140E12"/>
    <w:rsid w:val="00144E4D"/>
    <w:rsid w:val="00150986"/>
    <w:rsid w:val="00156573"/>
    <w:rsid w:val="0016244A"/>
    <w:rsid w:val="001701A8"/>
    <w:rsid w:val="0017072A"/>
    <w:rsid w:val="001724F2"/>
    <w:rsid w:val="0017534A"/>
    <w:rsid w:val="001803E9"/>
    <w:rsid w:val="0018168C"/>
    <w:rsid w:val="00182771"/>
    <w:rsid w:val="00185854"/>
    <w:rsid w:val="001901C5"/>
    <w:rsid w:val="00190F75"/>
    <w:rsid w:val="001A6A2A"/>
    <w:rsid w:val="001B27FD"/>
    <w:rsid w:val="001B28FC"/>
    <w:rsid w:val="001B5A47"/>
    <w:rsid w:val="001C42FF"/>
    <w:rsid w:val="001C4623"/>
    <w:rsid w:val="001C6AA2"/>
    <w:rsid w:val="001D047E"/>
    <w:rsid w:val="001D3B64"/>
    <w:rsid w:val="001D552D"/>
    <w:rsid w:val="001D5573"/>
    <w:rsid w:val="001D5A0E"/>
    <w:rsid w:val="001E3C52"/>
    <w:rsid w:val="001E690B"/>
    <w:rsid w:val="001E7DF0"/>
    <w:rsid w:val="001F2689"/>
    <w:rsid w:val="00206BF1"/>
    <w:rsid w:val="002173B2"/>
    <w:rsid w:val="00217FF4"/>
    <w:rsid w:val="002213B6"/>
    <w:rsid w:val="00225681"/>
    <w:rsid w:val="002264BD"/>
    <w:rsid w:val="00236F33"/>
    <w:rsid w:val="00245C02"/>
    <w:rsid w:val="002519EF"/>
    <w:rsid w:val="00251F4E"/>
    <w:rsid w:val="002624CE"/>
    <w:rsid w:val="00264582"/>
    <w:rsid w:val="0026506F"/>
    <w:rsid w:val="002664E4"/>
    <w:rsid w:val="00272037"/>
    <w:rsid w:val="0027268D"/>
    <w:rsid w:val="002801E7"/>
    <w:rsid w:val="002822D3"/>
    <w:rsid w:val="002928CF"/>
    <w:rsid w:val="002938A5"/>
    <w:rsid w:val="002945AC"/>
    <w:rsid w:val="00294DEB"/>
    <w:rsid w:val="002A0B91"/>
    <w:rsid w:val="002A3598"/>
    <w:rsid w:val="002A3762"/>
    <w:rsid w:val="002B03C0"/>
    <w:rsid w:val="002B4810"/>
    <w:rsid w:val="002D6C34"/>
    <w:rsid w:val="002D6C71"/>
    <w:rsid w:val="002D796E"/>
    <w:rsid w:val="002E0650"/>
    <w:rsid w:val="002E2A8A"/>
    <w:rsid w:val="002F6DBF"/>
    <w:rsid w:val="00301A4D"/>
    <w:rsid w:val="00303AC9"/>
    <w:rsid w:val="003045C0"/>
    <w:rsid w:val="00305760"/>
    <w:rsid w:val="0031595C"/>
    <w:rsid w:val="00316863"/>
    <w:rsid w:val="00317C85"/>
    <w:rsid w:val="00321CDF"/>
    <w:rsid w:val="0032564C"/>
    <w:rsid w:val="00332A43"/>
    <w:rsid w:val="00336342"/>
    <w:rsid w:val="00336932"/>
    <w:rsid w:val="00337842"/>
    <w:rsid w:val="00340877"/>
    <w:rsid w:val="00342613"/>
    <w:rsid w:val="003517FE"/>
    <w:rsid w:val="003519CD"/>
    <w:rsid w:val="003526AE"/>
    <w:rsid w:val="003537FA"/>
    <w:rsid w:val="00363571"/>
    <w:rsid w:val="00366BEC"/>
    <w:rsid w:val="00373354"/>
    <w:rsid w:val="003815C2"/>
    <w:rsid w:val="00381766"/>
    <w:rsid w:val="00385320"/>
    <w:rsid w:val="00386D6E"/>
    <w:rsid w:val="003878F7"/>
    <w:rsid w:val="003901C6"/>
    <w:rsid w:val="0039051F"/>
    <w:rsid w:val="00391ABA"/>
    <w:rsid w:val="00394C9D"/>
    <w:rsid w:val="0039793A"/>
    <w:rsid w:val="003A4843"/>
    <w:rsid w:val="003A5F4F"/>
    <w:rsid w:val="003B4F13"/>
    <w:rsid w:val="003C0601"/>
    <w:rsid w:val="003C11B5"/>
    <w:rsid w:val="003D1BAE"/>
    <w:rsid w:val="003D7254"/>
    <w:rsid w:val="003D782A"/>
    <w:rsid w:val="003E036A"/>
    <w:rsid w:val="003E5A31"/>
    <w:rsid w:val="003E7C38"/>
    <w:rsid w:val="003F48D3"/>
    <w:rsid w:val="003F642E"/>
    <w:rsid w:val="004101EA"/>
    <w:rsid w:val="00412FF2"/>
    <w:rsid w:val="0042423E"/>
    <w:rsid w:val="00434DD0"/>
    <w:rsid w:val="00441EB0"/>
    <w:rsid w:val="0044257F"/>
    <w:rsid w:val="00447240"/>
    <w:rsid w:val="00453F7D"/>
    <w:rsid w:val="00456534"/>
    <w:rsid w:val="00465BE9"/>
    <w:rsid w:val="004668D4"/>
    <w:rsid w:val="004722FB"/>
    <w:rsid w:val="0047616C"/>
    <w:rsid w:val="004817E1"/>
    <w:rsid w:val="0048347B"/>
    <w:rsid w:val="004937F9"/>
    <w:rsid w:val="004A5535"/>
    <w:rsid w:val="004B203C"/>
    <w:rsid w:val="004B79DC"/>
    <w:rsid w:val="004C15B3"/>
    <w:rsid w:val="004C4671"/>
    <w:rsid w:val="004C61CC"/>
    <w:rsid w:val="004C7810"/>
    <w:rsid w:val="004D0148"/>
    <w:rsid w:val="004D5599"/>
    <w:rsid w:val="004E2525"/>
    <w:rsid w:val="004E5A1E"/>
    <w:rsid w:val="004F0D2E"/>
    <w:rsid w:val="004F600E"/>
    <w:rsid w:val="00500E1C"/>
    <w:rsid w:val="00504B41"/>
    <w:rsid w:val="00510716"/>
    <w:rsid w:val="005146CA"/>
    <w:rsid w:val="00514C12"/>
    <w:rsid w:val="005269C8"/>
    <w:rsid w:val="00536852"/>
    <w:rsid w:val="00536CD8"/>
    <w:rsid w:val="00536D5B"/>
    <w:rsid w:val="00537601"/>
    <w:rsid w:val="00540B20"/>
    <w:rsid w:val="005432A5"/>
    <w:rsid w:val="00547E0C"/>
    <w:rsid w:val="005521C2"/>
    <w:rsid w:val="005639A1"/>
    <w:rsid w:val="00566917"/>
    <w:rsid w:val="00566C15"/>
    <w:rsid w:val="00586DF1"/>
    <w:rsid w:val="0059527F"/>
    <w:rsid w:val="005A03C9"/>
    <w:rsid w:val="005A04BF"/>
    <w:rsid w:val="005A04C4"/>
    <w:rsid w:val="005A7D4C"/>
    <w:rsid w:val="005B44F0"/>
    <w:rsid w:val="005B4CBE"/>
    <w:rsid w:val="005C5A26"/>
    <w:rsid w:val="005D3C30"/>
    <w:rsid w:val="005E2D39"/>
    <w:rsid w:val="005E3419"/>
    <w:rsid w:val="005E7972"/>
    <w:rsid w:val="005F1231"/>
    <w:rsid w:val="005F2DC7"/>
    <w:rsid w:val="005F585B"/>
    <w:rsid w:val="00607BD4"/>
    <w:rsid w:val="00610819"/>
    <w:rsid w:val="00611279"/>
    <w:rsid w:val="00612AE3"/>
    <w:rsid w:val="00612ED5"/>
    <w:rsid w:val="00615247"/>
    <w:rsid w:val="0062184B"/>
    <w:rsid w:val="0062798B"/>
    <w:rsid w:val="006330A8"/>
    <w:rsid w:val="006403A9"/>
    <w:rsid w:val="0064172C"/>
    <w:rsid w:val="0064775F"/>
    <w:rsid w:val="00652867"/>
    <w:rsid w:val="00655644"/>
    <w:rsid w:val="006644B9"/>
    <w:rsid w:val="00665317"/>
    <w:rsid w:val="0067135F"/>
    <w:rsid w:val="006721B1"/>
    <w:rsid w:val="006770BB"/>
    <w:rsid w:val="00677D2A"/>
    <w:rsid w:val="00692574"/>
    <w:rsid w:val="006A2D81"/>
    <w:rsid w:val="006B270F"/>
    <w:rsid w:val="006C1DAD"/>
    <w:rsid w:val="006C2016"/>
    <w:rsid w:val="006C5E5A"/>
    <w:rsid w:val="006C7661"/>
    <w:rsid w:val="006D4A08"/>
    <w:rsid w:val="006D7A1B"/>
    <w:rsid w:val="006E1E7B"/>
    <w:rsid w:val="006F4235"/>
    <w:rsid w:val="006F7587"/>
    <w:rsid w:val="007019E4"/>
    <w:rsid w:val="0070319C"/>
    <w:rsid w:val="00705C2C"/>
    <w:rsid w:val="0071617E"/>
    <w:rsid w:val="007205E6"/>
    <w:rsid w:val="00722483"/>
    <w:rsid w:val="007232C2"/>
    <w:rsid w:val="00726491"/>
    <w:rsid w:val="0073296E"/>
    <w:rsid w:val="0073751A"/>
    <w:rsid w:val="007375CC"/>
    <w:rsid w:val="00742D23"/>
    <w:rsid w:val="0074359E"/>
    <w:rsid w:val="007456FA"/>
    <w:rsid w:val="00746CFA"/>
    <w:rsid w:val="0074707E"/>
    <w:rsid w:val="00760F98"/>
    <w:rsid w:val="00762370"/>
    <w:rsid w:val="0076468B"/>
    <w:rsid w:val="00764E27"/>
    <w:rsid w:val="00767D9C"/>
    <w:rsid w:val="00772559"/>
    <w:rsid w:val="007747FD"/>
    <w:rsid w:val="00786172"/>
    <w:rsid w:val="007917B8"/>
    <w:rsid w:val="007951D3"/>
    <w:rsid w:val="00796565"/>
    <w:rsid w:val="007A14E5"/>
    <w:rsid w:val="007A45CA"/>
    <w:rsid w:val="007B291F"/>
    <w:rsid w:val="007B4F96"/>
    <w:rsid w:val="007C2BE0"/>
    <w:rsid w:val="007C2D8D"/>
    <w:rsid w:val="007C4DBA"/>
    <w:rsid w:val="007C58F3"/>
    <w:rsid w:val="007D045D"/>
    <w:rsid w:val="007D3281"/>
    <w:rsid w:val="007D5AAD"/>
    <w:rsid w:val="007D6659"/>
    <w:rsid w:val="007E2A7C"/>
    <w:rsid w:val="007E32C1"/>
    <w:rsid w:val="007E3B35"/>
    <w:rsid w:val="007F0499"/>
    <w:rsid w:val="007F2452"/>
    <w:rsid w:val="007F60EC"/>
    <w:rsid w:val="00804639"/>
    <w:rsid w:val="00811B4C"/>
    <w:rsid w:val="0081619A"/>
    <w:rsid w:val="00817111"/>
    <w:rsid w:val="00824D2F"/>
    <w:rsid w:val="008332BD"/>
    <w:rsid w:val="008363B7"/>
    <w:rsid w:val="00837529"/>
    <w:rsid w:val="00840C07"/>
    <w:rsid w:val="00841FF6"/>
    <w:rsid w:val="00850FE7"/>
    <w:rsid w:val="008537DD"/>
    <w:rsid w:val="0085396F"/>
    <w:rsid w:val="00854102"/>
    <w:rsid w:val="00854DA9"/>
    <w:rsid w:val="00873645"/>
    <w:rsid w:val="008764D1"/>
    <w:rsid w:val="00877D33"/>
    <w:rsid w:val="008804C7"/>
    <w:rsid w:val="008934FA"/>
    <w:rsid w:val="008A700E"/>
    <w:rsid w:val="008A74B6"/>
    <w:rsid w:val="008B43D8"/>
    <w:rsid w:val="008C1735"/>
    <w:rsid w:val="008C2C4F"/>
    <w:rsid w:val="008C514A"/>
    <w:rsid w:val="008C6443"/>
    <w:rsid w:val="008D161B"/>
    <w:rsid w:val="008D1E31"/>
    <w:rsid w:val="008D24C7"/>
    <w:rsid w:val="008E10EC"/>
    <w:rsid w:val="008E397E"/>
    <w:rsid w:val="008E4C51"/>
    <w:rsid w:val="008F0658"/>
    <w:rsid w:val="008F3BD3"/>
    <w:rsid w:val="0091262D"/>
    <w:rsid w:val="00913E81"/>
    <w:rsid w:val="00917AEE"/>
    <w:rsid w:val="009254BC"/>
    <w:rsid w:val="00930AF1"/>
    <w:rsid w:val="00934B38"/>
    <w:rsid w:val="00935BCA"/>
    <w:rsid w:val="0094241D"/>
    <w:rsid w:val="009467E6"/>
    <w:rsid w:val="00947953"/>
    <w:rsid w:val="0095384B"/>
    <w:rsid w:val="00954F02"/>
    <w:rsid w:val="00955A38"/>
    <w:rsid w:val="00966D8A"/>
    <w:rsid w:val="009841B5"/>
    <w:rsid w:val="00986822"/>
    <w:rsid w:val="00986B20"/>
    <w:rsid w:val="00987B58"/>
    <w:rsid w:val="00995F3B"/>
    <w:rsid w:val="009A08C0"/>
    <w:rsid w:val="009A1F5D"/>
    <w:rsid w:val="009A48B3"/>
    <w:rsid w:val="009A657A"/>
    <w:rsid w:val="009B3C44"/>
    <w:rsid w:val="009B4A34"/>
    <w:rsid w:val="009B4CB4"/>
    <w:rsid w:val="009B5909"/>
    <w:rsid w:val="009B5911"/>
    <w:rsid w:val="009C674C"/>
    <w:rsid w:val="009C7131"/>
    <w:rsid w:val="009D3A7D"/>
    <w:rsid w:val="009D67A1"/>
    <w:rsid w:val="009F3CD0"/>
    <w:rsid w:val="009F7168"/>
    <w:rsid w:val="00A02EC2"/>
    <w:rsid w:val="00A04A71"/>
    <w:rsid w:val="00A04DC1"/>
    <w:rsid w:val="00A06799"/>
    <w:rsid w:val="00A11C39"/>
    <w:rsid w:val="00A140F5"/>
    <w:rsid w:val="00A14C21"/>
    <w:rsid w:val="00A17853"/>
    <w:rsid w:val="00A23233"/>
    <w:rsid w:val="00A24126"/>
    <w:rsid w:val="00A302B5"/>
    <w:rsid w:val="00A30DB1"/>
    <w:rsid w:val="00A31E84"/>
    <w:rsid w:val="00A33084"/>
    <w:rsid w:val="00A34115"/>
    <w:rsid w:val="00A356B2"/>
    <w:rsid w:val="00A44903"/>
    <w:rsid w:val="00A45299"/>
    <w:rsid w:val="00A4643E"/>
    <w:rsid w:val="00A60AEA"/>
    <w:rsid w:val="00A7276F"/>
    <w:rsid w:val="00A74D4B"/>
    <w:rsid w:val="00A75903"/>
    <w:rsid w:val="00A76A36"/>
    <w:rsid w:val="00A804B1"/>
    <w:rsid w:val="00A87B17"/>
    <w:rsid w:val="00A9071D"/>
    <w:rsid w:val="00A90E4D"/>
    <w:rsid w:val="00A9169B"/>
    <w:rsid w:val="00A95A7A"/>
    <w:rsid w:val="00AA30DB"/>
    <w:rsid w:val="00AB5D7D"/>
    <w:rsid w:val="00AB609D"/>
    <w:rsid w:val="00AB7F27"/>
    <w:rsid w:val="00AC00F7"/>
    <w:rsid w:val="00AC10D1"/>
    <w:rsid w:val="00AC2302"/>
    <w:rsid w:val="00AC31DD"/>
    <w:rsid w:val="00AC3CE6"/>
    <w:rsid w:val="00AC4186"/>
    <w:rsid w:val="00AC4645"/>
    <w:rsid w:val="00AD30B2"/>
    <w:rsid w:val="00AD3137"/>
    <w:rsid w:val="00AE022E"/>
    <w:rsid w:val="00AE1F64"/>
    <w:rsid w:val="00AE29F2"/>
    <w:rsid w:val="00AE3AEC"/>
    <w:rsid w:val="00AF5C19"/>
    <w:rsid w:val="00B00BAB"/>
    <w:rsid w:val="00B06D62"/>
    <w:rsid w:val="00B078B3"/>
    <w:rsid w:val="00B13A7D"/>
    <w:rsid w:val="00B3001D"/>
    <w:rsid w:val="00B437FE"/>
    <w:rsid w:val="00B50D42"/>
    <w:rsid w:val="00B52C74"/>
    <w:rsid w:val="00B53ECC"/>
    <w:rsid w:val="00B6152A"/>
    <w:rsid w:val="00B65B31"/>
    <w:rsid w:val="00B75C4E"/>
    <w:rsid w:val="00B76C4E"/>
    <w:rsid w:val="00B77EED"/>
    <w:rsid w:val="00B805A3"/>
    <w:rsid w:val="00B92DE4"/>
    <w:rsid w:val="00BA0CD9"/>
    <w:rsid w:val="00BB0012"/>
    <w:rsid w:val="00BB1D2D"/>
    <w:rsid w:val="00BC1990"/>
    <w:rsid w:val="00BC54DD"/>
    <w:rsid w:val="00BD34A3"/>
    <w:rsid w:val="00BD3553"/>
    <w:rsid w:val="00BD409A"/>
    <w:rsid w:val="00BE1434"/>
    <w:rsid w:val="00BE167E"/>
    <w:rsid w:val="00BE3429"/>
    <w:rsid w:val="00BF506D"/>
    <w:rsid w:val="00BF6BF8"/>
    <w:rsid w:val="00BF72E2"/>
    <w:rsid w:val="00BF7492"/>
    <w:rsid w:val="00BF7E14"/>
    <w:rsid w:val="00C00637"/>
    <w:rsid w:val="00C01C68"/>
    <w:rsid w:val="00C027BF"/>
    <w:rsid w:val="00C11FBB"/>
    <w:rsid w:val="00C12195"/>
    <w:rsid w:val="00C173CB"/>
    <w:rsid w:val="00C215FD"/>
    <w:rsid w:val="00C25B62"/>
    <w:rsid w:val="00C25DAB"/>
    <w:rsid w:val="00C325E3"/>
    <w:rsid w:val="00C36608"/>
    <w:rsid w:val="00C53443"/>
    <w:rsid w:val="00C73583"/>
    <w:rsid w:val="00C76E95"/>
    <w:rsid w:val="00C82C15"/>
    <w:rsid w:val="00C936CA"/>
    <w:rsid w:val="00C95EEF"/>
    <w:rsid w:val="00C95FC7"/>
    <w:rsid w:val="00CC2737"/>
    <w:rsid w:val="00CC5F3D"/>
    <w:rsid w:val="00CC7086"/>
    <w:rsid w:val="00CD2244"/>
    <w:rsid w:val="00CD38EC"/>
    <w:rsid w:val="00CD4FF4"/>
    <w:rsid w:val="00CD793C"/>
    <w:rsid w:val="00CE2B04"/>
    <w:rsid w:val="00CE2BCF"/>
    <w:rsid w:val="00CE38BA"/>
    <w:rsid w:val="00CE4DB5"/>
    <w:rsid w:val="00CE5F3A"/>
    <w:rsid w:val="00D003DE"/>
    <w:rsid w:val="00D024F2"/>
    <w:rsid w:val="00D04D6C"/>
    <w:rsid w:val="00D05B40"/>
    <w:rsid w:val="00D06D2E"/>
    <w:rsid w:val="00D14735"/>
    <w:rsid w:val="00D2014F"/>
    <w:rsid w:val="00D3178F"/>
    <w:rsid w:val="00D33C3B"/>
    <w:rsid w:val="00D34486"/>
    <w:rsid w:val="00D354D8"/>
    <w:rsid w:val="00D36E7B"/>
    <w:rsid w:val="00D4170A"/>
    <w:rsid w:val="00D4264B"/>
    <w:rsid w:val="00D466A5"/>
    <w:rsid w:val="00D471A1"/>
    <w:rsid w:val="00D50293"/>
    <w:rsid w:val="00D50C19"/>
    <w:rsid w:val="00D52572"/>
    <w:rsid w:val="00D54E3B"/>
    <w:rsid w:val="00D550F0"/>
    <w:rsid w:val="00D5698A"/>
    <w:rsid w:val="00D604D5"/>
    <w:rsid w:val="00D64C6E"/>
    <w:rsid w:val="00D66E74"/>
    <w:rsid w:val="00D82C27"/>
    <w:rsid w:val="00D83C42"/>
    <w:rsid w:val="00D87C3D"/>
    <w:rsid w:val="00D95B02"/>
    <w:rsid w:val="00DA774B"/>
    <w:rsid w:val="00DB620A"/>
    <w:rsid w:val="00DB7945"/>
    <w:rsid w:val="00DC280B"/>
    <w:rsid w:val="00DD23A2"/>
    <w:rsid w:val="00DD5A57"/>
    <w:rsid w:val="00DE4C26"/>
    <w:rsid w:val="00DE5F93"/>
    <w:rsid w:val="00DE7206"/>
    <w:rsid w:val="00DF32A5"/>
    <w:rsid w:val="00DF4F08"/>
    <w:rsid w:val="00DF53FA"/>
    <w:rsid w:val="00DF5D89"/>
    <w:rsid w:val="00E04B16"/>
    <w:rsid w:val="00E063B4"/>
    <w:rsid w:val="00E107B4"/>
    <w:rsid w:val="00E11DF2"/>
    <w:rsid w:val="00E144A7"/>
    <w:rsid w:val="00E154EB"/>
    <w:rsid w:val="00E15A8F"/>
    <w:rsid w:val="00E234CD"/>
    <w:rsid w:val="00E2669A"/>
    <w:rsid w:val="00E279D3"/>
    <w:rsid w:val="00E33C40"/>
    <w:rsid w:val="00E34D8D"/>
    <w:rsid w:val="00E350C1"/>
    <w:rsid w:val="00E35A36"/>
    <w:rsid w:val="00E40B4F"/>
    <w:rsid w:val="00E5273A"/>
    <w:rsid w:val="00E52EEB"/>
    <w:rsid w:val="00E557AC"/>
    <w:rsid w:val="00E600EF"/>
    <w:rsid w:val="00E61FD6"/>
    <w:rsid w:val="00E65286"/>
    <w:rsid w:val="00E70E25"/>
    <w:rsid w:val="00E75920"/>
    <w:rsid w:val="00E75F98"/>
    <w:rsid w:val="00E7729D"/>
    <w:rsid w:val="00E77FC3"/>
    <w:rsid w:val="00E80682"/>
    <w:rsid w:val="00E85757"/>
    <w:rsid w:val="00EA7C56"/>
    <w:rsid w:val="00EB1C22"/>
    <w:rsid w:val="00EB73B4"/>
    <w:rsid w:val="00EC195A"/>
    <w:rsid w:val="00EC4CBC"/>
    <w:rsid w:val="00EC5EEC"/>
    <w:rsid w:val="00ED6194"/>
    <w:rsid w:val="00EE04AD"/>
    <w:rsid w:val="00EE0730"/>
    <w:rsid w:val="00EE2C93"/>
    <w:rsid w:val="00EE70A5"/>
    <w:rsid w:val="00EF2E8C"/>
    <w:rsid w:val="00EF4116"/>
    <w:rsid w:val="00EF5E40"/>
    <w:rsid w:val="00F0622F"/>
    <w:rsid w:val="00F11DED"/>
    <w:rsid w:val="00F12F90"/>
    <w:rsid w:val="00F13F62"/>
    <w:rsid w:val="00F174FE"/>
    <w:rsid w:val="00F209F8"/>
    <w:rsid w:val="00F222CB"/>
    <w:rsid w:val="00F22D6C"/>
    <w:rsid w:val="00F3497B"/>
    <w:rsid w:val="00F34F0A"/>
    <w:rsid w:val="00F42298"/>
    <w:rsid w:val="00F448D5"/>
    <w:rsid w:val="00F5024E"/>
    <w:rsid w:val="00F519D5"/>
    <w:rsid w:val="00F52C6E"/>
    <w:rsid w:val="00F531E8"/>
    <w:rsid w:val="00F60A36"/>
    <w:rsid w:val="00F60DE9"/>
    <w:rsid w:val="00F62293"/>
    <w:rsid w:val="00F72BA2"/>
    <w:rsid w:val="00F73589"/>
    <w:rsid w:val="00F81E07"/>
    <w:rsid w:val="00F83DB4"/>
    <w:rsid w:val="00F9077B"/>
    <w:rsid w:val="00F92C03"/>
    <w:rsid w:val="00FA5961"/>
    <w:rsid w:val="00FB0CE8"/>
    <w:rsid w:val="00FB5C4F"/>
    <w:rsid w:val="00FC308E"/>
    <w:rsid w:val="00FD0597"/>
    <w:rsid w:val="00FD3C42"/>
    <w:rsid w:val="00FE0604"/>
    <w:rsid w:val="00FF00F1"/>
    <w:rsid w:val="00FF0169"/>
    <w:rsid w:val="00FF7289"/>
    <w:rsid w:val="023A18E2"/>
    <w:rsid w:val="1826D9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31ECB-1515-47BB-8FC5-9DB2984A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73B2"/>
  </w:style>
  <w:style w:type="paragraph" w:styleId="Nadpis1">
    <w:name w:val="heading 1"/>
    <w:basedOn w:val="Normln"/>
    <w:next w:val="Normln"/>
    <w:link w:val="Nadpis1Char"/>
    <w:qFormat/>
    <w:rsid w:val="007917B8"/>
    <w:pPr>
      <w:keepNext/>
      <w:spacing w:after="0" w:line="240" w:lineRule="auto"/>
      <w:jc w:val="center"/>
      <w:outlineLvl w:val="0"/>
    </w:pPr>
    <w:rPr>
      <w:rFonts w:ascii="Arial" w:eastAsia="Times New Roman" w:hAnsi="Arial" w:cs="Arial"/>
      <w:b/>
      <w:bCs/>
      <w:snapToGrid w:val="0"/>
      <w:color w:val="FF0000"/>
      <w:sz w:val="28"/>
      <w:szCs w:val="28"/>
      <w:lang w:val="fr-FR"/>
    </w:rPr>
  </w:style>
  <w:style w:type="paragraph" w:styleId="Nadpis3">
    <w:name w:val="heading 3"/>
    <w:aliases w:val="Ctrl+3"/>
    <w:basedOn w:val="Normln"/>
    <w:next w:val="Normln"/>
    <w:link w:val="Nadpis3Char"/>
    <w:qFormat/>
    <w:rsid w:val="00DB7945"/>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604D5"/>
    <w:pPr>
      <w:ind w:left="720"/>
      <w:contextualSpacing/>
    </w:pPr>
  </w:style>
  <w:style w:type="paragraph" w:styleId="Textbubliny">
    <w:name w:val="Balloon Text"/>
    <w:basedOn w:val="Normln"/>
    <w:link w:val="TextbublinyChar"/>
    <w:uiPriority w:val="99"/>
    <w:semiHidden/>
    <w:unhideWhenUsed/>
    <w:rsid w:val="00C95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5FC7"/>
    <w:rPr>
      <w:rFonts w:ascii="Tahoma" w:hAnsi="Tahoma" w:cs="Tahoma"/>
      <w:sz w:val="16"/>
      <w:szCs w:val="16"/>
    </w:rPr>
  </w:style>
  <w:style w:type="paragraph" w:styleId="Zhlav">
    <w:name w:val="header"/>
    <w:basedOn w:val="Normln"/>
    <w:link w:val="ZhlavChar"/>
    <w:uiPriority w:val="99"/>
    <w:unhideWhenUsed/>
    <w:rsid w:val="00C01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C68"/>
  </w:style>
  <w:style w:type="paragraph" w:styleId="Zpat">
    <w:name w:val="footer"/>
    <w:basedOn w:val="Normln"/>
    <w:link w:val="ZpatChar"/>
    <w:uiPriority w:val="99"/>
    <w:unhideWhenUsed/>
    <w:rsid w:val="00C01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C68"/>
  </w:style>
  <w:style w:type="character" w:styleId="Hypertextovodkaz">
    <w:name w:val="Hyperlink"/>
    <w:basedOn w:val="Standardnpsmoodstavce"/>
    <w:rsid w:val="00C01C68"/>
    <w:rPr>
      <w:color w:val="0000FF"/>
      <w:u w:val="single"/>
    </w:rPr>
  </w:style>
  <w:style w:type="paragraph" w:customStyle="1" w:styleId="Default">
    <w:name w:val="Default"/>
    <w:rsid w:val="00504B41"/>
    <w:pPr>
      <w:autoSpaceDE w:val="0"/>
      <w:autoSpaceDN w:val="0"/>
      <w:adjustRightInd w:val="0"/>
      <w:spacing w:after="0" w:line="240" w:lineRule="auto"/>
    </w:pPr>
    <w:rPr>
      <w:rFonts w:ascii="Minion Pro" w:hAnsi="Minion Pro" w:cs="Minion Pro"/>
      <w:color w:val="000000"/>
      <w:sz w:val="24"/>
      <w:szCs w:val="24"/>
    </w:rPr>
  </w:style>
  <w:style w:type="paragraph" w:customStyle="1" w:styleId="Pa4">
    <w:name w:val="Pa4"/>
    <w:basedOn w:val="Default"/>
    <w:next w:val="Default"/>
    <w:uiPriority w:val="99"/>
    <w:rsid w:val="00504B41"/>
    <w:pPr>
      <w:spacing w:line="241" w:lineRule="atLeast"/>
    </w:pPr>
    <w:rPr>
      <w:rFonts w:cstheme="minorBidi"/>
      <w:color w:val="auto"/>
    </w:rPr>
  </w:style>
  <w:style w:type="character" w:customStyle="1" w:styleId="A7">
    <w:name w:val="A7"/>
    <w:uiPriority w:val="99"/>
    <w:rsid w:val="00504B41"/>
    <w:rPr>
      <w:rFonts w:cs="Minion Pro"/>
      <w:b/>
      <w:bCs/>
      <w:color w:val="000000"/>
      <w:sz w:val="36"/>
      <w:szCs w:val="36"/>
    </w:rPr>
  </w:style>
  <w:style w:type="character" w:customStyle="1" w:styleId="Nadpis3Char">
    <w:name w:val="Nadpis 3 Char"/>
    <w:aliases w:val="Ctrl+3 Char"/>
    <w:basedOn w:val="Standardnpsmoodstavce"/>
    <w:link w:val="Nadpis3"/>
    <w:rsid w:val="00DB7945"/>
    <w:rPr>
      <w:rFonts w:ascii="Arial" w:eastAsia="Times New Roman" w:hAnsi="Arial" w:cs="Arial"/>
      <w:b/>
      <w:bCs/>
      <w:sz w:val="26"/>
      <w:szCs w:val="26"/>
      <w:lang w:eastAsia="cs-CZ"/>
    </w:rPr>
  </w:style>
  <w:style w:type="character" w:customStyle="1" w:styleId="A6">
    <w:name w:val="A6"/>
    <w:uiPriority w:val="99"/>
    <w:rsid w:val="005432A5"/>
    <w:rPr>
      <w:rFonts w:cs="Minion Pro"/>
      <w:color w:val="000000"/>
    </w:rPr>
  </w:style>
  <w:style w:type="character" w:styleId="Odkaznakoment">
    <w:name w:val="annotation reference"/>
    <w:basedOn w:val="Standardnpsmoodstavce"/>
    <w:uiPriority w:val="99"/>
    <w:semiHidden/>
    <w:unhideWhenUsed/>
    <w:rsid w:val="000C7F39"/>
    <w:rPr>
      <w:sz w:val="16"/>
      <w:szCs w:val="16"/>
    </w:rPr>
  </w:style>
  <w:style w:type="paragraph" w:styleId="Textkomente">
    <w:name w:val="annotation text"/>
    <w:basedOn w:val="Normln"/>
    <w:link w:val="TextkomenteChar"/>
    <w:uiPriority w:val="99"/>
    <w:semiHidden/>
    <w:unhideWhenUsed/>
    <w:rsid w:val="000C7F39"/>
    <w:pPr>
      <w:spacing w:line="240" w:lineRule="auto"/>
    </w:pPr>
    <w:rPr>
      <w:sz w:val="20"/>
      <w:szCs w:val="20"/>
    </w:rPr>
  </w:style>
  <w:style w:type="character" w:customStyle="1" w:styleId="TextkomenteChar">
    <w:name w:val="Text komentáře Char"/>
    <w:basedOn w:val="Standardnpsmoodstavce"/>
    <w:link w:val="Textkomente"/>
    <w:uiPriority w:val="99"/>
    <w:semiHidden/>
    <w:rsid w:val="000C7F39"/>
    <w:rPr>
      <w:sz w:val="20"/>
      <w:szCs w:val="20"/>
    </w:rPr>
  </w:style>
  <w:style w:type="paragraph" w:styleId="Pedmtkomente">
    <w:name w:val="annotation subject"/>
    <w:basedOn w:val="Textkomente"/>
    <w:next w:val="Textkomente"/>
    <w:link w:val="PedmtkomenteChar"/>
    <w:uiPriority w:val="99"/>
    <w:semiHidden/>
    <w:unhideWhenUsed/>
    <w:rsid w:val="000C7F39"/>
    <w:rPr>
      <w:b/>
      <w:bCs/>
    </w:rPr>
  </w:style>
  <w:style w:type="character" w:customStyle="1" w:styleId="PedmtkomenteChar">
    <w:name w:val="Předmět komentáře Char"/>
    <w:basedOn w:val="TextkomenteChar"/>
    <w:link w:val="Pedmtkomente"/>
    <w:uiPriority w:val="99"/>
    <w:semiHidden/>
    <w:rsid w:val="000C7F39"/>
    <w:rPr>
      <w:b/>
      <w:bCs/>
      <w:sz w:val="20"/>
      <w:szCs w:val="20"/>
    </w:rPr>
  </w:style>
  <w:style w:type="paragraph" w:styleId="Seznamsodrkami">
    <w:name w:val="List Bullet"/>
    <w:basedOn w:val="Normln"/>
    <w:uiPriority w:val="99"/>
    <w:unhideWhenUsed/>
    <w:rsid w:val="008E10EC"/>
    <w:pPr>
      <w:numPr>
        <w:numId w:val="2"/>
      </w:numPr>
      <w:contextualSpacing/>
    </w:pPr>
  </w:style>
  <w:style w:type="character" w:customStyle="1" w:styleId="Nadpis1Char">
    <w:name w:val="Nadpis 1 Char"/>
    <w:basedOn w:val="Standardnpsmoodstavce"/>
    <w:link w:val="Nadpis1"/>
    <w:rsid w:val="007917B8"/>
    <w:rPr>
      <w:rFonts w:ascii="Arial" w:eastAsia="Times New Roman" w:hAnsi="Arial" w:cs="Arial"/>
      <w:b/>
      <w:bCs/>
      <w:snapToGrid w:val="0"/>
      <w:color w:val="FF0000"/>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15EB-C71F-417C-A390-05DC5D28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5351</Words>
  <Characters>31572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dc:creator>
  <cp:lastModifiedBy>Zbuzková Soňa</cp:lastModifiedBy>
  <cp:revision>3</cp:revision>
  <cp:lastPrinted>2018-03-20T16:44:00Z</cp:lastPrinted>
  <dcterms:created xsi:type="dcterms:W3CDTF">2018-07-27T06:33:00Z</dcterms:created>
  <dcterms:modified xsi:type="dcterms:W3CDTF">2018-07-27T06:33:00Z</dcterms:modified>
</cp:coreProperties>
</file>